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F55F85" w14:textId="537B508B" w:rsidR="00FE18A4" w:rsidRDefault="00F46D71" w:rsidP="00FE18A4">
      <w:pPr>
        <w:pStyle w:val="Heading1"/>
      </w:pPr>
      <w:r>
        <w:rPr>
          <w:noProof/>
          <w:lang w:eastAsia="en-AU"/>
        </w:rPr>
        <mc:AlternateContent>
          <mc:Choice Requires="wps">
            <w:drawing>
              <wp:anchor distT="0" distB="0" distL="114300" distR="114300" simplePos="0" relativeHeight="251659264" behindDoc="0" locked="1" layoutInCell="1" allowOverlap="1" wp14:anchorId="60B77E38" wp14:editId="7A721AF5">
                <wp:simplePos x="0" y="0"/>
                <wp:positionH relativeFrom="margin">
                  <wp:align>left</wp:align>
                </wp:positionH>
                <wp:positionV relativeFrom="margin">
                  <wp:posOffset>-1980565</wp:posOffset>
                </wp:positionV>
                <wp:extent cx="4320000" cy="1800000"/>
                <wp:effectExtent l="0" t="0" r="4445" b="10160"/>
                <wp:wrapNone/>
                <wp:docPr id="11" name="Text Box 11"/>
                <wp:cNvGraphicFramePr/>
                <a:graphic xmlns:a="http://schemas.openxmlformats.org/drawingml/2006/main">
                  <a:graphicData uri="http://schemas.microsoft.com/office/word/2010/wordprocessingShape">
                    <wps:wsp>
                      <wps:cNvSpPr txBox="1"/>
                      <wps:spPr>
                        <a:xfrm>
                          <a:off x="0" y="0"/>
                          <a:ext cx="4320000" cy="1800000"/>
                        </a:xfrm>
                        <a:prstGeom prst="rect">
                          <a:avLst/>
                        </a:prstGeom>
                        <a:noFill/>
                        <a:ln w="6350">
                          <a:noFill/>
                        </a:ln>
                      </wps:spPr>
                      <wps:txbx>
                        <w:txbxContent>
                          <w:p w14:paraId="4DA195AD" w14:textId="1655CA34" w:rsidR="00BE75CD" w:rsidRDefault="00BE75CD" w:rsidP="00FF43DD">
                            <w:pPr>
                              <w:pStyle w:val="Title"/>
                              <w:spacing w:after="240"/>
                              <w:contextualSpacing w:val="0"/>
                            </w:pPr>
                            <w:r>
                              <w:t>Information Security</w:t>
                            </w:r>
                            <w:r w:rsidR="00660F20">
                              <w:br/>
                            </w:r>
                            <w:r>
                              <w:t>Manual</w:t>
                            </w:r>
                          </w:p>
                          <w:p w14:paraId="4AF7E164" w14:textId="32B8B673" w:rsidR="00ED72FB" w:rsidRDefault="00FF43DD" w:rsidP="00FF43DD">
                            <w:pPr>
                              <w:pStyle w:val="BodyText"/>
                            </w:pPr>
                            <w:r>
                              <w:rPr>
                                <w:b/>
                              </w:rPr>
                              <w:t>Published:</w:t>
                            </w:r>
                            <w:r w:rsidRPr="00806AA5">
                              <w:t xml:space="preserve"> </w:t>
                            </w:r>
                            <w:r w:rsidR="00C7587A">
                              <w:t>02</w:t>
                            </w:r>
                            <w:r w:rsidR="008B259D">
                              <w:t xml:space="preserve"> </w:t>
                            </w:r>
                            <w:r w:rsidR="005515D0">
                              <w:t>March 2023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B77E38" id="_x0000_t202" coordsize="21600,21600" o:spt="202" path="m,l,21600r21600,l21600,xe">
                <v:stroke joinstyle="miter"/>
                <v:path gradientshapeok="t" o:connecttype="rect"/>
              </v:shapetype>
              <v:shape id="Text Box 11" o:spid="_x0000_s1026" type="#_x0000_t202" style="position:absolute;margin-left:0;margin-top:-155.95pt;width:340.15pt;height:141.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" filled="f" stroked="f" strokeweight=".5pt">
                <v:textbox inset="0,0,0,0">
                  <w:txbxContent>
                    <w:p w14:paraId="4DA195AD" w14:textId="1655CA34" w:rsidR="00BE75CD" w:rsidRDefault="00BE75CD" w:rsidP="00FF43DD">
                      <w:pPr>
                        <w:pStyle w:val="Title"/>
                        <w:spacing w:after="240"/>
                        <w:contextualSpacing w:val="0"/>
                      </w:pPr>
                      <w:r>
                        <w:t>Information Security</w:t>
                      </w:r>
                      <w:r w:rsidR="00660F20">
                        <w:br/>
                      </w:r>
                      <w:r>
                        <w:t>Manual</w:t>
                      </w:r>
                    </w:p>
                    <w:p w14:paraId="4AF7E164" w14:textId="32B8B673" w:rsidR="00ED72FB" w:rsidRDefault="00FF43DD" w:rsidP="00FF43DD">
                      <w:pPr>
                        <w:pStyle w:val="BodyText"/>
                      </w:pPr>
                      <w:r>
                        <w:rPr>
                          <w:b/>
                        </w:rPr>
                        <w:t>Published:</w:t>
                      </w:r>
                      <w:r w:rsidRPr="00806AA5">
                        <w:t xml:space="preserve"> </w:t>
                      </w:r>
                      <w:r w:rsidR="00C7587A">
                        <w:t>02</w:t>
                      </w:r>
                      <w:bookmarkStart w:id="1" w:name="_GoBack"/>
                      <w:bookmarkEnd w:id="1"/>
                      <w:r w:rsidR="008B259D">
                        <w:t xml:space="preserve"> </w:t>
                      </w:r>
                      <w:r w:rsidR="005515D0">
                        <w:t>March 2023</w:t>
                      </w:r>
                    </w:p>
                  </w:txbxContent>
                </v:textbox>
                <w10:wrap anchorx="margin" anchory="margin"/>
                <w10:anchorlock/>
              </v:shape>
            </w:pict>
          </mc:Fallback>
        </mc:AlternateContent>
      </w:r>
      <w:bookmarkStart w:id="0" w:name="_Toc41044814"/>
      <w:bookmarkStart w:id="1" w:name="_Toc50141144"/>
      <w:r w:rsidR="00FE18A4" w:rsidRPr="004C3415">
        <w:t>Guidelines for Database Systems</w:t>
      </w:r>
      <w:bookmarkEnd w:id="0"/>
      <w:bookmarkEnd w:id="1"/>
    </w:p>
    <w:p w14:paraId="0CD424A5" w14:textId="77777777" w:rsidR="00172ED0" w:rsidRDefault="00172ED0" w:rsidP="00172ED0">
      <w:pPr>
        <w:pStyle w:val="Heading2"/>
      </w:pPr>
      <w:bookmarkStart w:id="2" w:name="_Toc94626540"/>
      <w:bookmarkStart w:id="3" w:name="_Toc41044815"/>
      <w:r>
        <w:t>Database servers</w:t>
      </w:r>
      <w:bookmarkEnd w:id="2"/>
      <w:bookmarkEnd w:id="3"/>
    </w:p>
    <w:p w14:paraId="418E9593" w14:textId="77777777" w:rsidR="00172ED0" w:rsidRDefault="00172ED0" w:rsidP="00172ED0">
      <w:pPr>
        <w:pStyle w:val="Heading3"/>
      </w:pPr>
      <w:r>
        <w:t>Functional separation between database servers and web servers</w:t>
      </w:r>
    </w:p>
    <w:p w14:paraId="160CF4C2" w14:textId="77777777" w:rsidR="00172ED0" w:rsidRDefault="00172ED0" w:rsidP="00172ED0">
      <w:pPr>
        <w:pStyle w:val="BodyText"/>
      </w:pPr>
      <w:r>
        <w:t>Due to the higher threat environment that web servers are typically exposed to, hosting database servers and web servers within the same operating environment</w:t>
      </w:r>
      <w:r>
        <w:rPr>
          <w:color w:val="FF0000"/>
        </w:rPr>
        <w:t xml:space="preserve"> </w:t>
      </w:r>
      <w:r>
        <w:t>increases the likelihood of database servers being compromise by an adversary. This security risk can be mitigated by ensuring that database servers are functionally separated from web servers.</w:t>
      </w:r>
    </w:p>
    <w:p w14:paraId="0A166D7A" w14:textId="77777777" w:rsidR="00172ED0" w:rsidRDefault="00172ED0" w:rsidP="00172ED0">
      <w:pPr>
        <w:pStyle w:val="IntenseHeading"/>
      </w:pPr>
      <w:r>
        <w:t>Control: ISM-1269; Revision: 3; Updated: Mar-22; Applicability: All; Essential Eight: N/A</w:t>
      </w:r>
    </w:p>
    <w:p w14:paraId="1972A13D" w14:textId="77777777" w:rsidR="00172ED0" w:rsidRDefault="00172ED0" w:rsidP="00172ED0">
      <w:pPr>
        <w:rPr>
          <w:rStyle w:val="IntenseEmphasis"/>
        </w:rPr>
      </w:pPr>
      <w:r>
        <w:rPr>
          <w:rStyle w:val="IntenseEmphasis"/>
        </w:rPr>
        <w:t>Database servers and web servers are functionally separated.</w:t>
      </w:r>
    </w:p>
    <w:p w14:paraId="5DA05250" w14:textId="77777777" w:rsidR="00172ED0" w:rsidRDefault="00172ED0" w:rsidP="00172ED0">
      <w:pPr>
        <w:pStyle w:val="Heading3"/>
      </w:pPr>
      <w:r>
        <w:t>Communications between database servers and web servers</w:t>
      </w:r>
    </w:p>
    <w:p w14:paraId="6A82A6E5" w14:textId="77777777" w:rsidR="00172ED0" w:rsidRDefault="00172ED0" w:rsidP="00172ED0">
      <w:pPr>
        <w:pStyle w:val="BodyText"/>
      </w:pPr>
      <w:r>
        <w:t>Data communicated between database servers and web servers, especially over the internet, is susceptible to capture by an adversary. As such, it is important that all data communicated between database servers and web servers is encrypted.</w:t>
      </w:r>
    </w:p>
    <w:p w14:paraId="3149853F" w14:textId="77777777" w:rsidR="00172ED0" w:rsidRDefault="00172ED0" w:rsidP="00172ED0">
      <w:pPr>
        <w:pStyle w:val="IntenseHeading"/>
      </w:pPr>
      <w:r>
        <w:t>Control: ISM-1277; Revision: 4; Updated: Mar-22; Applicability: All; Essential Eight: N/A</w:t>
      </w:r>
    </w:p>
    <w:p w14:paraId="6C89847F" w14:textId="77777777" w:rsidR="00172ED0" w:rsidRDefault="00172ED0" w:rsidP="00172ED0">
      <w:pPr>
        <w:rPr>
          <w:rStyle w:val="IntenseEmphasis"/>
        </w:rPr>
      </w:pPr>
      <w:r>
        <w:rPr>
          <w:rStyle w:val="IntenseEmphasis"/>
        </w:rPr>
        <w:t>Data communicated between database servers and web servers is encrypted.</w:t>
      </w:r>
    </w:p>
    <w:p w14:paraId="72ACE855" w14:textId="77777777" w:rsidR="00172ED0" w:rsidRDefault="00172ED0" w:rsidP="00172ED0">
      <w:pPr>
        <w:pStyle w:val="Heading3"/>
      </w:pPr>
      <w:r>
        <w:t>Network environment</w:t>
      </w:r>
    </w:p>
    <w:p w14:paraId="6E59E9CE" w14:textId="77777777" w:rsidR="00172ED0" w:rsidRDefault="00172ED0" w:rsidP="00172ED0">
      <w:pPr>
        <w:pStyle w:val="BodyText"/>
      </w:pPr>
      <w:r>
        <w:t>Placing database servers on the same network segment as user workstations can increase the likelihood of database servers being compromise by an adversary. Additionally, in cases where databases will only be accessed from their own database server, allowing remote access to the database server poses an unnecessary security risk.</w:t>
      </w:r>
    </w:p>
    <w:p w14:paraId="0A6B7774" w14:textId="77777777" w:rsidR="00172ED0" w:rsidRDefault="00172ED0" w:rsidP="00172ED0">
      <w:pPr>
        <w:pStyle w:val="IntenseHeading"/>
      </w:pPr>
      <w:r>
        <w:t>Control: ISM-1270; Revision: 3; Updated: Mar-22; Applicability: All; Essential Eight: N/A</w:t>
      </w:r>
    </w:p>
    <w:p w14:paraId="57D25B1B" w14:textId="77777777" w:rsidR="00172ED0" w:rsidRDefault="00172ED0" w:rsidP="00172ED0">
      <w:pPr>
        <w:rPr>
          <w:rStyle w:val="IntenseEmphasis"/>
        </w:rPr>
      </w:pPr>
      <w:r>
        <w:rPr>
          <w:rStyle w:val="IntenseEmphasis"/>
        </w:rPr>
        <w:t>Database servers are placed on a different network segment to user workstations.</w:t>
      </w:r>
    </w:p>
    <w:p w14:paraId="3BFDFCF7" w14:textId="77777777" w:rsidR="00172ED0" w:rsidRDefault="00172ED0" w:rsidP="00172ED0">
      <w:pPr>
        <w:pStyle w:val="IntenseHeading"/>
      </w:pPr>
      <w:r>
        <w:t>Control: ISM-1271; Revision: 2; Updated: Jan-20; Applicability: All; Essential Eight: N/A</w:t>
      </w:r>
    </w:p>
    <w:p w14:paraId="19DE67A0" w14:textId="77777777" w:rsidR="00172ED0" w:rsidRDefault="00172ED0" w:rsidP="00172ED0">
      <w:pPr>
        <w:rPr>
          <w:rStyle w:val="IntenseEmphasis"/>
        </w:rPr>
      </w:pPr>
      <w:r>
        <w:rPr>
          <w:rStyle w:val="IntenseEmphasis"/>
        </w:rPr>
        <w:t>Network access controls are implemented to restrict database server communications to strictly defined network resources, such as web servers, application servers and storage area networks.</w:t>
      </w:r>
    </w:p>
    <w:p w14:paraId="043A1B14" w14:textId="77777777" w:rsidR="00172ED0" w:rsidRDefault="00172ED0" w:rsidP="00172ED0">
      <w:pPr>
        <w:pStyle w:val="IntenseHeading"/>
      </w:pPr>
      <w:r>
        <w:t>Control: ISM-1272; Revision: 1; Updated: Sep-18; Applicability: All; Essential Eight: N/A</w:t>
      </w:r>
    </w:p>
    <w:p w14:paraId="442D7959" w14:textId="7D3F393B" w:rsidR="00172ED0" w:rsidRDefault="00172ED0" w:rsidP="00172ED0">
      <w:pPr>
        <w:rPr>
          <w:rStyle w:val="IntenseEmphasis"/>
        </w:rPr>
      </w:pPr>
      <w:r>
        <w:rPr>
          <w:rStyle w:val="IntenseEmphasis"/>
        </w:rPr>
        <w:t xml:space="preserve">If only local access to a database is required, networking functionality of database management system software is </w:t>
      </w:r>
      <w:proofErr w:type="gramStart"/>
      <w:r>
        <w:rPr>
          <w:rStyle w:val="IntenseEmphasis"/>
        </w:rPr>
        <w:t>disabled</w:t>
      </w:r>
      <w:proofErr w:type="gramEnd"/>
      <w:r>
        <w:rPr>
          <w:rStyle w:val="IntenseEmphasis"/>
        </w:rPr>
        <w:t xml:space="preserve"> or directed to listen solely to the localhost interface.</w:t>
      </w:r>
    </w:p>
    <w:p w14:paraId="1F95362F" w14:textId="77777777" w:rsidR="00172ED0" w:rsidRDefault="00172ED0" w:rsidP="00172ED0">
      <w:pPr>
        <w:pStyle w:val="Heading3"/>
      </w:pPr>
      <w:r>
        <w:lastRenderedPageBreak/>
        <w:t>Separation of development, testing and production database servers</w:t>
      </w:r>
    </w:p>
    <w:p w14:paraId="3A4C5D4D" w14:textId="77777777" w:rsidR="00172ED0" w:rsidRDefault="00172ED0" w:rsidP="00172ED0">
      <w:pPr>
        <w:pStyle w:val="BodyText"/>
      </w:pPr>
      <w:r>
        <w:t>Using production database servers for development and testing activities could result in accidental damage to their integrity or contents.</w:t>
      </w:r>
    </w:p>
    <w:p w14:paraId="1EA41D9B" w14:textId="77777777" w:rsidR="00172ED0" w:rsidRDefault="00172ED0" w:rsidP="00172ED0">
      <w:pPr>
        <w:pStyle w:val="IntenseHeading"/>
      </w:pPr>
      <w:r>
        <w:t>Control: ISM-1273; Revision: 3; Updated: Mar-22; Applicability: All; Essential Eight: N/A</w:t>
      </w:r>
    </w:p>
    <w:p w14:paraId="1910737D" w14:textId="77777777" w:rsidR="00172ED0" w:rsidRDefault="00172ED0" w:rsidP="00172ED0">
      <w:pPr>
        <w:rPr>
          <w:rStyle w:val="IntenseEmphasis"/>
        </w:rPr>
      </w:pPr>
      <w:r>
        <w:rPr>
          <w:rStyle w:val="IntenseEmphasis"/>
        </w:rPr>
        <w:t>Development and testing environments do not use the same database servers as production environments.</w:t>
      </w:r>
    </w:p>
    <w:p w14:paraId="272B5462" w14:textId="77777777" w:rsidR="00172ED0" w:rsidRDefault="00172ED0" w:rsidP="00172ED0">
      <w:pPr>
        <w:pStyle w:val="Heading3"/>
      </w:pPr>
      <w:r>
        <w:t>Further information</w:t>
      </w:r>
    </w:p>
    <w:p w14:paraId="44510280" w14:textId="473E505C" w:rsidR="00172ED0" w:rsidRDefault="00172ED0" w:rsidP="00172ED0">
      <w:pPr>
        <w:pStyle w:val="BodyText"/>
      </w:pPr>
      <w:bookmarkStart w:id="4" w:name="_Toc41044816"/>
      <w:r>
        <w:t xml:space="preserve">Further information on the functional separation of computing environments can be found in the virtualisation hardening section of the </w:t>
      </w:r>
      <w:hyperlink r:id="rId7" w:tooltip="Guidelines for System Hardening" w:history="1">
        <w:r>
          <w:rPr>
            <w:rStyle w:val="Hyperlink"/>
            <w:i/>
            <w:spacing w:val="5"/>
          </w:rPr>
          <w:t>Guidelines for System Hardening</w:t>
        </w:r>
      </w:hyperlink>
      <w:r>
        <w:t>.</w:t>
      </w:r>
    </w:p>
    <w:p w14:paraId="72D9CC9A" w14:textId="00C56A43" w:rsidR="00172ED0" w:rsidRDefault="00172ED0" w:rsidP="00172ED0">
      <w:pPr>
        <w:pStyle w:val="BodyText"/>
      </w:pPr>
      <w:r>
        <w:t xml:space="preserve">Further information on encrypting communications can be found in the cryptographic fundamentals section of the </w:t>
      </w:r>
      <w:hyperlink r:id="rId8" w:tooltip="Guidelines for Cryptography" w:history="1">
        <w:r>
          <w:rPr>
            <w:rStyle w:val="Hyperlink"/>
            <w:i/>
            <w:spacing w:val="5"/>
          </w:rPr>
          <w:t>Guidelines for Cryptography</w:t>
        </w:r>
      </w:hyperlink>
      <w:r>
        <w:t>.</w:t>
      </w:r>
    </w:p>
    <w:p w14:paraId="288B2390" w14:textId="3FE2AA54" w:rsidR="00172ED0" w:rsidRDefault="00172ED0" w:rsidP="00172ED0">
      <w:pPr>
        <w:pStyle w:val="BodyText"/>
      </w:pPr>
      <w:r>
        <w:t xml:space="preserve">Further information on network segmentation and segregation can be found in the network design and configuration section of the </w:t>
      </w:r>
      <w:hyperlink r:id="rId9" w:tooltip="Guidelines for Networking" w:history="1">
        <w:r>
          <w:rPr>
            <w:rStyle w:val="Hyperlink"/>
            <w:i/>
            <w:spacing w:val="5"/>
          </w:rPr>
          <w:t>Guidelines for Networking</w:t>
        </w:r>
      </w:hyperlink>
      <w:r>
        <w:t>.</w:t>
      </w:r>
    </w:p>
    <w:p w14:paraId="4D6ECE26" w14:textId="08067AA7" w:rsidR="00DE5142" w:rsidRPr="00DF7362" w:rsidRDefault="00DE5142" w:rsidP="00DE5142">
      <w:pPr>
        <w:pStyle w:val="BodyText"/>
      </w:pPr>
      <w:r>
        <w:t xml:space="preserve">Further information on database management system software can be found in the server application hardening section of the </w:t>
      </w:r>
      <w:hyperlink r:id="rId10" w:tooltip="Guidelines for System Hardening" w:history="1">
        <w:r w:rsidRPr="00176801">
          <w:rPr>
            <w:rStyle w:val="Hyperlink"/>
            <w:i/>
            <w:spacing w:val="5"/>
          </w:rPr>
          <w:t xml:space="preserve">Guidelines for </w:t>
        </w:r>
        <w:r>
          <w:rPr>
            <w:rStyle w:val="Hyperlink"/>
            <w:i/>
            <w:spacing w:val="5"/>
          </w:rPr>
          <w:t>System Hardening</w:t>
        </w:r>
      </w:hyperlink>
      <w:r w:rsidRPr="00DF7362">
        <w:t>.</w:t>
      </w:r>
    </w:p>
    <w:p w14:paraId="2AEAC46A" w14:textId="77777777" w:rsidR="00172ED0" w:rsidRDefault="00172ED0" w:rsidP="00172ED0">
      <w:pPr>
        <w:pStyle w:val="Heading2"/>
      </w:pPr>
      <w:bookmarkStart w:id="5" w:name="_Toc94626542"/>
      <w:bookmarkStart w:id="6" w:name="_Toc41044817"/>
      <w:bookmarkEnd w:id="4"/>
      <w:r>
        <w:t>Databases</w:t>
      </w:r>
      <w:bookmarkEnd w:id="5"/>
      <w:bookmarkEnd w:id="6"/>
    </w:p>
    <w:p w14:paraId="0B7DE8B5" w14:textId="77777777" w:rsidR="00172ED0" w:rsidRDefault="00172ED0" w:rsidP="00172ED0">
      <w:pPr>
        <w:pStyle w:val="Heading3"/>
      </w:pPr>
      <w:r>
        <w:t>Database register</w:t>
      </w:r>
    </w:p>
    <w:p w14:paraId="18A715F8" w14:textId="77777777" w:rsidR="006C3841" w:rsidRPr="00DF7362" w:rsidRDefault="006C3841" w:rsidP="006C3841">
      <w:pPr>
        <w:pStyle w:val="BodyText"/>
      </w:pPr>
      <w:r w:rsidRPr="00DF7362">
        <w:t>Without knowledge of all the databases in an organisation, and the</w:t>
      </w:r>
      <w:r>
        <w:t>ir</w:t>
      </w:r>
      <w:r w:rsidRPr="00DF7362">
        <w:t xml:space="preserve"> </w:t>
      </w:r>
      <w:r>
        <w:t>contents</w:t>
      </w:r>
      <w:r w:rsidRPr="00DF7362">
        <w:t>, an organisation will be unable to appropriately protect their assets.</w:t>
      </w:r>
      <w:r>
        <w:t xml:space="preserve"> As such, it is important that a database register is developed, implemented, maintained and verified on a regular basis.</w:t>
      </w:r>
    </w:p>
    <w:p w14:paraId="7580C6E7" w14:textId="226A10CD" w:rsidR="00172ED0" w:rsidRDefault="00172ED0" w:rsidP="00172ED0">
      <w:pPr>
        <w:pStyle w:val="IntenseHeading"/>
      </w:pPr>
      <w:r>
        <w:t xml:space="preserve">Control: ISM-1243; Revision: </w:t>
      </w:r>
      <w:r w:rsidR="006C3841">
        <w:t>6</w:t>
      </w:r>
      <w:r>
        <w:t xml:space="preserve">; Updated: </w:t>
      </w:r>
      <w:r w:rsidR="006C3841">
        <w:t>Dec</w:t>
      </w:r>
      <w:r>
        <w:t>-22; Applicability: All; Essential Eight: N/A</w:t>
      </w:r>
    </w:p>
    <w:p w14:paraId="79AE7259" w14:textId="77777777" w:rsidR="006C3841" w:rsidRPr="00845B51" w:rsidRDefault="006C3841" w:rsidP="006C3841">
      <w:pPr>
        <w:rPr>
          <w:rStyle w:val="IntenseEmphasis"/>
        </w:rPr>
      </w:pPr>
      <w:r w:rsidRPr="00845B51">
        <w:rPr>
          <w:rStyle w:val="IntenseEmphasis"/>
        </w:rPr>
        <w:t xml:space="preserve">A database register is </w:t>
      </w:r>
      <w:r>
        <w:rPr>
          <w:rStyle w:val="IntenseEmphasis"/>
        </w:rPr>
        <w:t xml:space="preserve">developed, implemented, </w:t>
      </w:r>
      <w:r w:rsidRPr="00845B51">
        <w:rPr>
          <w:rStyle w:val="IntenseEmphasis"/>
        </w:rPr>
        <w:t xml:space="preserve">maintained and </w:t>
      </w:r>
      <w:r>
        <w:rPr>
          <w:rStyle w:val="IntenseEmphasis"/>
        </w:rPr>
        <w:t>verified on a regular basis</w:t>
      </w:r>
      <w:r w:rsidRPr="00845B51">
        <w:rPr>
          <w:rStyle w:val="IntenseEmphasis"/>
        </w:rPr>
        <w:t>.</w:t>
      </w:r>
    </w:p>
    <w:p w14:paraId="196666AB" w14:textId="77777777" w:rsidR="00172ED0" w:rsidRDefault="00172ED0" w:rsidP="00172ED0">
      <w:pPr>
        <w:pStyle w:val="Heading3"/>
      </w:pPr>
      <w:r>
        <w:t>Protecting databases</w:t>
      </w:r>
    </w:p>
    <w:p w14:paraId="087D74B5" w14:textId="77777777" w:rsidR="00172ED0" w:rsidRDefault="00172ED0" w:rsidP="00172ED0">
      <w:pPr>
        <w:pStyle w:val="BodyText"/>
      </w:pPr>
      <w:r>
        <w:t>Databases can be protected from unauthorised copying, and subsequent offline analysis, by applying file-based access controls to database files.</w:t>
      </w:r>
    </w:p>
    <w:p w14:paraId="4FF2FB46" w14:textId="77777777" w:rsidR="00172ED0" w:rsidRDefault="00172ED0" w:rsidP="00172ED0">
      <w:pPr>
        <w:pStyle w:val="IntenseHeading"/>
      </w:pPr>
      <w:r>
        <w:t>Control: ISM-1256; Revision: 3; Updated: Sep-18; Applicability: All; Essential Eight: N/A</w:t>
      </w:r>
    </w:p>
    <w:p w14:paraId="379E9D1F" w14:textId="77777777" w:rsidR="00172ED0" w:rsidRDefault="00172ED0" w:rsidP="00172ED0">
      <w:pPr>
        <w:rPr>
          <w:rStyle w:val="IntenseEmphasis"/>
        </w:rPr>
      </w:pPr>
      <w:r>
        <w:rPr>
          <w:rStyle w:val="IntenseEmphasis"/>
        </w:rPr>
        <w:t>File-based access controls are applied to database files.</w:t>
      </w:r>
    </w:p>
    <w:p w14:paraId="5AFE8F4B" w14:textId="77777777" w:rsidR="00172ED0" w:rsidRDefault="00172ED0" w:rsidP="00172ED0">
      <w:pPr>
        <w:pStyle w:val="Heading3"/>
      </w:pPr>
      <w:r>
        <w:t>Protecting database contents</w:t>
      </w:r>
    </w:p>
    <w:p w14:paraId="72CC12B3" w14:textId="77777777" w:rsidR="00172ED0" w:rsidRDefault="00172ED0" w:rsidP="00172ED0">
      <w:pPr>
        <w:pStyle w:val="BodyText"/>
      </w:pPr>
      <w:r>
        <w:t>Database administrators and database users should know the sensitivity or classification associated with databases and their contents. In cases where all of a database’s contents are the same sensitivity or classification, an organisation should classify the entire database at this level and protect it as such. Alternatively, in cases where a database’s contents are of varying sensitivities or classifications, and database users have varying levels of access to the database’s contents, an organisation should protect the database’s contents at a more granular level.</w:t>
      </w:r>
    </w:p>
    <w:p w14:paraId="19F650CB" w14:textId="77777777" w:rsidR="00172ED0" w:rsidRDefault="00172ED0" w:rsidP="00172ED0">
      <w:pPr>
        <w:pStyle w:val="BodyText"/>
      </w:pPr>
      <w:r>
        <w:t>Restricting database users’ ability to access, insert, modify or remove database contents, based on their work duties, ensures that the likelihood of unauthorised access, modification or deletion of database contents is reduced. Furthermore, where concerns exist that the aggregation of separate pieces of content from within a database could lead to an adversary determining more sensitive or classified content, the need-to-know principle can be enforced through the use of minimum privileges, database views and database roles. Alternatively, the content of concern could be separated by implementing multiple databases, each with restricted data sets.</w:t>
      </w:r>
    </w:p>
    <w:p w14:paraId="198647A7" w14:textId="77777777" w:rsidR="00172ED0" w:rsidRDefault="00172ED0" w:rsidP="00172ED0">
      <w:pPr>
        <w:pStyle w:val="IntenseHeading"/>
      </w:pPr>
      <w:r>
        <w:lastRenderedPageBreak/>
        <w:t>Control: ISM-0393; Revision: 8; Updated: Jun-21; Applicability: All; Essential Eight: N/A</w:t>
      </w:r>
    </w:p>
    <w:p w14:paraId="4F778538" w14:textId="77777777" w:rsidR="00172ED0" w:rsidRDefault="00172ED0" w:rsidP="00172ED0">
      <w:pPr>
        <w:rPr>
          <w:rStyle w:val="IntenseEmphasis"/>
        </w:rPr>
      </w:pPr>
      <w:r>
        <w:rPr>
          <w:rStyle w:val="IntenseEmphasis"/>
        </w:rPr>
        <w:t>Databases and their contents are classified based on the sensitivity or classification of data that they contain.</w:t>
      </w:r>
    </w:p>
    <w:p w14:paraId="373E8DFC" w14:textId="77777777" w:rsidR="00172ED0" w:rsidRDefault="00172ED0" w:rsidP="00172ED0">
      <w:pPr>
        <w:pStyle w:val="IntenseHeading"/>
      </w:pPr>
      <w:r>
        <w:t>Control: ISM-1255; Revision: 4; Updated: Mar-22; Applicability: All; Essential Eight: N/A</w:t>
      </w:r>
    </w:p>
    <w:p w14:paraId="75D9D1D0" w14:textId="77777777" w:rsidR="00172ED0" w:rsidRDefault="00172ED0" w:rsidP="00172ED0">
      <w:pPr>
        <w:rPr>
          <w:rStyle w:val="IntenseEmphasis"/>
        </w:rPr>
      </w:pPr>
      <w:r>
        <w:rPr>
          <w:rStyle w:val="IntenseEmphasis"/>
        </w:rPr>
        <w:t>Database users’ ability to access, insert, modify and remove database contents is restricted based on their work duties.</w:t>
      </w:r>
    </w:p>
    <w:p w14:paraId="40530D87" w14:textId="77777777" w:rsidR="00172ED0" w:rsidRDefault="00172ED0" w:rsidP="00172ED0">
      <w:pPr>
        <w:pStyle w:val="IntenseHeading"/>
      </w:pPr>
      <w:r>
        <w:t>Control: ISM-1268; Revision: 1; Updated: Sep-18; Applicability: All; Essential Eight: N/A</w:t>
      </w:r>
    </w:p>
    <w:p w14:paraId="4D3ABC59" w14:textId="77777777" w:rsidR="00172ED0" w:rsidRDefault="00172ED0" w:rsidP="00172ED0">
      <w:pPr>
        <w:rPr>
          <w:rStyle w:val="IntenseEmphasis"/>
        </w:rPr>
      </w:pPr>
      <w:r>
        <w:rPr>
          <w:rStyle w:val="IntenseEmphasis"/>
        </w:rPr>
        <w:t>The need-to-know principle is enforced for database contents through the application of minimum privileges, database views and database roles.</w:t>
      </w:r>
    </w:p>
    <w:p w14:paraId="61588709" w14:textId="77777777" w:rsidR="00172ED0" w:rsidRDefault="00172ED0" w:rsidP="00172ED0">
      <w:pPr>
        <w:pStyle w:val="Heading3"/>
      </w:pPr>
      <w:r>
        <w:t>Separation of development, testing and production databases</w:t>
      </w:r>
    </w:p>
    <w:p w14:paraId="1C4142E8" w14:textId="77777777" w:rsidR="00172ED0" w:rsidRDefault="00172ED0" w:rsidP="00172ED0">
      <w:pPr>
        <w:pStyle w:val="BodyText"/>
      </w:pPr>
      <w:r>
        <w:t>Using database contents from production environments in development or testing environments could result in inadequate protection being applied to the database contents.</w:t>
      </w:r>
    </w:p>
    <w:p w14:paraId="0EB08192" w14:textId="77777777" w:rsidR="00172ED0" w:rsidRDefault="00172ED0" w:rsidP="00172ED0">
      <w:pPr>
        <w:pStyle w:val="IntenseHeading"/>
      </w:pPr>
      <w:r>
        <w:t>Control: ISM-1274; Revision: 6; Updated: Mar-22; Applicability: All; Essential Eight: N/A</w:t>
      </w:r>
    </w:p>
    <w:p w14:paraId="246775DD" w14:textId="77777777" w:rsidR="00172ED0" w:rsidRDefault="00172ED0" w:rsidP="00172ED0">
      <w:pPr>
        <w:rPr>
          <w:rStyle w:val="IntenseEmphasis"/>
        </w:rPr>
      </w:pPr>
      <w:r>
        <w:rPr>
          <w:rStyle w:val="IntenseEmphasis"/>
        </w:rPr>
        <w:t>Database contents from production environments are not used in development or testing environments unless the environment is secured to the same level as the production environment.</w:t>
      </w:r>
    </w:p>
    <w:p w14:paraId="30215F20" w14:textId="77777777" w:rsidR="00172ED0" w:rsidRDefault="00172ED0" w:rsidP="00172ED0">
      <w:pPr>
        <w:pStyle w:val="Heading3"/>
      </w:pPr>
      <w:r>
        <w:t>Web application interaction with databases</w:t>
      </w:r>
    </w:p>
    <w:p w14:paraId="3FC2AC52" w14:textId="77777777" w:rsidR="00DB6ECD" w:rsidRDefault="00DB6ECD" w:rsidP="00DB6ECD">
      <w:pPr>
        <w:pStyle w:val="BodyText"/>
      </w:pPr>
      <w:r w:rsidRPr="001C386D">
        <w:t xml:space="preserve">Structured Query Language </w:t>
      </w:r>
      <w:r>
        <w:t>(SQL) injection attacks, facilitated by the use of dynamically generated queries, are a significant threat to the confidentiality, integrity and availability of database contents. Specifically, SQL injection attacks can allow an adversary to steal database contents, modify database contents, delete an entire database or even in some circumstances gain control of the underlying database server. Furthermore, when database queries from web applications fail they may display detailed error information about the structure of databases. This can be used by an adversary to further tailor their SQL injection attacks.</w:t>
      </w:r>
    </w:p>
    <w:p w14:paraId="5BF7BEF0" w14:textId="77777777" w:rsidR="00172ED0" w:rsidRDefault="00172ED0" w:rsidP="00172ED0">
      <w:pPr>
        <w:pStyle w:val="IntenseHeading"/>
      </w:pPr>
      <w:r>
        <w:t>Control: ISM-1275; Revision: 1; Updated: Sep-18; Applicability: All; Essential Eight: N/A</w:t>
      </w:r>
    </w:p>
    <w:p w14:paraId="4A64E2DD" w14:textId="77777777" w:rsidR="00172ED0" w:rsidRDefault="00172ED0" w:rsidP="00172ED0">
      <w:pPr>
        <w:rPr>
          <w:rStyle w:val="IntenseEmphasis"/>
        </w:rPr>
      </w:pPr>
      <w:r>
        <w:rPr>
          <w:rStyle w:val="IntenseEmphasis"/>
        </w:rPr>
        <w:t>All queries to databases from web applications are filtered for legitimate content and correct syntax.</w:t>
      </w:r>
    </w:p>
    <w:p w14:paraId="1B6024C9" w14:textId="5362BBAD" w:rsidR="00172ED0" w:rsidRDefault="00172ED0" w:rsidP="00172ED0">
      <w:pPr>
        <w:pStyle w:val="IntenseHeading"/>
      </w:pPr>
      <w:r>
        <w:t xml:space="preserve">Control: ISM-1276; Revision: </w:t>
      </w:r>
      <w:r w:rsidR="00C34996">
        <w:t>3</w:t>
      </w:r>
      <w:r>
        <w:t xml:space="preserve">; Updated: </w:t>
      </w:r>
      <w:r w:rsidR="00C34996">
        <w:t>Mar-23</w:t>
      </w:r>
      <w:r>
        <w:t>; Applicability: All; Essential Eight: N/A</w:t>
      </w:r>
    </w:p>
    <w:p w14:paraId="100D194A" w14:textId="77777777" w:rsidR="00A066C8" w:rsidRPr="00845B51" w:rsidRDefault="00A066C8" w:rsidP="00A066C8">
      <w:pPr>
        <w:rPr>
          <w:rStyle w:val="IntenseEmphasis"/>
        </w:rPr>
      </w:pPr>
      <w:r>
        <w:rPr>
          <w:rStyle w:val="IntenseEmphasis"/>
        </w:rPr>
        <w:t>P</w:t>
      </w:r>
      <w:r w:rsidRPr="00845B51">
        <w:rPr>
          <w:rStyle w:val="IntenseEmphasis"/>
        </w:rPr>
        <w:t>arameterised queries or stored procedures</w:t>
      </w:r>
      <w:r>
        <w:rPr>
          <w:rStyle w:val="IntenseEmphasis"/>
        </w:rPr>
        <w:t>, instead of dynamically generated queries,</w:t>
      </w:r>
      <w:r w:rsidRPr="00845B51">
        <w:rPr>
          <w:rStyle w:val="IntenseEmphasis"/>
        </w:rPr>
        <w:t xml:space="preserve"> are used for database interaction</w:t>
      </w:r>
      <w:r>
        <w:rPr>
          <w:rStyle w:val="IntenseEmphasis"/>
        </w:rPr>
        <w:t>s</w:t>
      </w:r>
      <w:r w:rsidRPr="00845B51">
        <w:rPr>
          <w:rStyle w:val="IntenseEmphasis"/>
        </w:rPr>
        <w:t>.</w:t>
      </w:r>
    </w:p>
    <w:p w14:paraId="2A0166C7" w14:textId="71B2F453" w:rsidR="00172ED0" w:rsidRDefault="00172ED0" w:rsidP="00172ED0">
      <w:pPr>
        <w:pStyle w:val="IntenseHeading"/>
      </w:pPr>
      <w:r>
        <w:t xml:space="preserve">Control: ISM-1278; Revision: </w:t>
      </w:r>
      <w:r w:rsidR="00DE5142">
        <w:t>4</w:t>
      </w:r>
      <w:r>
        <w:t>; Updated: Mar-2</w:t>
      </w:r>
      <w:r w:rsidR="00DE5142">
        <w:t>3</w:t>
      </w:r>
      <w:r>
        <w:t>; Applicability: All; Essential Eight: N/A</w:t>
      </w:r>
    </w:p>
    <w:p w14:paraId="12D098B8" w14:textId="69D2D05A" w:rsidR="00172ED0" w:rsidRDefault="00172ED0" w:rsidP="00172ED0">
      <w:pPr>
        <w:rPr>
          <w:rStyle w:val="IntenseEmphasis"/>
        </w:rPr>
      </w:pPr>
      <w:r>
        <w:rPr>
          <w:rStyle w:val="IntenseEmphasis"/>
        </w:rPr>
        <w:t xml:space="preserve">Web applications are designed </w:t>
      </w:r>
      <w:r w:rsidR="00DE5142">
        <w:rPr>
          <w:rStyle w:val="IntenseEmphasis"/>
        </w:rPr>
        <w:t xml:space="preserve">or configured </w:t>
      </w:r>
      <w:r>
        <w:rPr>
          <w:rStyle w:val="IntenseEmphasis"/>
        </w:rPr>
        <w:t>to provide as little error information as possible about the structure of databases.</w:t>
      </w:r>
    </w:p>
    <w:p w14:paraId="677F75B3" w14:textId="77777777" w:rsidR="00172ED0" w:rsidRDefault="00172ED0" w:rsidP="00172ED0">
      <w:pPr>
        <w:pStyle w:val="Heading3"/>
      </w:pPr>
      <w:r>
        <w:t>Database event logging</w:t>
      </w:r>
    </w:p>
    <w:p w14:paraId="36E820C6" w14:textId="77777777" w:rsidR="007F565D" w:rsidRPr="00DF7362" w:rsidRDefault="007F565D" w:rsidP="007F565D">
      <w:r>
        <w:t xml:space="preserve">Database events </w:t>
      </w:r>
      <w:r w:rsidRPr="00DF7362">
        <w:t xml:space="preserve">can assist in monitoring the security posture of </w:t>
      </w:r>
      <w:r>
        <w:t>databases</w:t>
      </w:r>
      <w:r w:rsidRPr="00DF7362">
        <w:t>, detecting malicious behaviour and contributing to investigations following cyber security incidents.</w:t>
      </w:r>
      <w:r>
        <w:t xml:space="preserve"> To facilitate such activities, database</w:t>
      </w:r>
      <w:r w:rsidRPr="00864EAB">
        <w:t xml:space="preserve"> event logs </w:t>
      </w:r>
      <w:r>
        <w:t>should be</w:t>
      </w:r>
      <w:r w:rsidRPr="00864EAB">
        <w:t xml:space="preserve"> </w:t>
      </w:r>
      <w:r>
        <w:t xml:space="preserve">captured and stored </w:t>
      </w:r>
      <w:r w:rsidRPr="00864EAB">
        <w:t>centrally.</w:t>
      </w:r>
    </w:p>
    <w:p w14:paraId="08BDB3D6" w14:textId="77777777" w:rsidR="00172ED0" w:rsidRDefault="00172ED0" w:rsidP="00172ED0">
      <w:pPr>
        <w:pStyle w:val="IntenseHeading"/>
      </w:pPr>
      <w:r>
        <w:t>Control: ISM-1537; Revision: 3; Updated: Jun-22; Applicability: All; Essential Eight: N/A</w:t>
      </w:r>
    </w:p>
    <w:p w14:paraId="70A8BBE2" w14:textId="77777777" w:rsidR="00172ED0" w:rsidRDefault="00172ED0" w:rsidP="00172ED0">
      <w:pPr>
        <w:rPr>
          <w:rStyle w:val="IntenseEmphasis"/>
        </w:rPr>
      </w:pPr>
      <w:r>
        <w:rPr>
          <w:rStyle w:val="IntenseEmphasis"/>
        </w:rPr>
        <w:t>The following events are logged for databases:</w:t>
      </w:r>
    </w:p>
    <w:p w14:paraId="143CAE36" w14:textId="77777777" w:rsidR="00172ED0" w:rsidRPr="00066566" w:rsidRDefault="00172ED0" w:rsidP="00066566">
      <w:pPr>
        <w:pStyle w:val="Bullets1"/>
        <w:rPr>
          <w:rStyle w:val="IntenseEmphasis"/>
        </w:rPr>
      </w:pPr>
      <w:r w:rsidRPr="00066566">
        <w:rPr>
          <w:rStyle w:val="IntenseEmphasis"/>
        </w:rPr>
        <w:t>access or modification of particularly important content</w:t>
      </w:r>
    </w:p>
    <w:p w14:paraId="76F410AD" w14:textId="77777777" w:rsidR="00172ED0" w:rsidRPr="00066566" w:rsidRDefault="00172ED0" w:rsidP="00066566">
      <w:pPr>
        <w:pStyle w:val="Bullets1"/>
        <w:rPr>
          <w:rStyle w:val="IntenseEmphasis"/>
        </w:rPr>
      </w:pPr>
      <w:r w:rsidRPr="00066566">
        <w:rPr>
          <w:rStyle w:val="IntenseEmphasis"/>
        </w:rPr>
        <w:t>addition of new users, especially privileged users</w:t>
      </w:r>
    </w:p>
    <w:p w14:paraId="0C30AC7F" w14:textId="77777777" w:rsidR="00172ED0" w:rsidRPr="00066566" w:rsidRDefault="00172ED0" w:rsidP="00066566">
      <w:pPr>
        <w:pStyle w:val="Bullets1"/>
        <w:rPr>
          <w:rStyle w:val="IntenseEmphasis"/>
        </w:rPr>
      </w:pPr>
      <w:r w:rsidRPr="00066566">
        <w:rPr>
          <w:rStyle w:val="IntenseEmphasis"/>
        </w:rPr>
        <w:t>changes to user roles or privileges</w:t>
      </w:r>
    </w:p>
    <w:p w14:paraId="42562A20" w14:textId="77777777" w:rsidR="00172ED0" w:rsidRPr="00066566" w:rsidRDefault="00172ED0" w:rsidP="00066566">
      <w:pPr>
        <w:pStyle w:val="Bullets1"/>
        <w:rPr>
          <w:rStyle w:val="IntenseEmphasis"/>
        </w:rPr>
      </w:pPr>
      <w:r w:rsidRPr="00066566">
        <w:rPr>
          <w:rStyle w:val="IntenseEmphasis"/>
        </w:rPr>
        <w:t>attempts to elevate user privileges</w:t>
      </w:r>
    </w:p>
    <w:p w14:paraId="7E9AEAFB" w14:textId="77777777" w:rsidR="00172ED0" w:rsidRPr="00066566" w:rsidRDefault="00172ED0" w:rsidP="00066566">
      <w:pPr>
        <w:pStyle w:val="Bullets1"/>
        <w:rPr>
          <w:rStyle w:val="IntenseEmphasis"/>
        </w:rPr>
      </w:pPr>
      <w:r w:rsidRPr="00066566">
        <w:rPr>
          <w:rStyle w:val="IntenseEmphasis"/>
        </w:rPr>
        <w:t>queries containing comments</w:t>
      </w:r>
    </w:p>
    <w:p w14:paraId="1835ABD4" w14:textId="77777777" w:rsidR="00172ED0" w:rsidRPr="00066566" w:rsidRDefault="00172ED0" w:rsidP="00066566">
      <w:pPr>
        <w:pStyle w:val="Bullets1"/>
        <w:rPr>
          <w:rStyle w:val="IntenseEmphasis"/>
        </w:rPr>
      </w:pPr>
      <w:r w:rsidRPr="00066566">
        <w:rPr>
          <w:rStyle w:val="IntenseEmphasis"/>
        </w:rPr>
        <w:t>queries containing multiple embedded queries</w:t>
      </w:r>
    </w:p>
    <w:p w14:paraId="5E0D953E" w14:textId="77777777" w:rsidR="00172ED0" w:rsidRPr="00066566" w:rsidRDefault="00172ED0" w:rsidP="00066566">
      <w:pPr>
        <w:pStyle w:val="Bullets1"/>
        <w:rPr>
          <w:rStyle w:val="IntenseEmphasis"/>
        </w:rPr>
      </w:pPr>
      <w:r w:rsidRPr="00066566">
        <w:rPr>
          <w:rStyle w:val="IntenseEmphasis"/>
        </w:rPr>
        <w:lastRenderedPageBreak/>
        <w:t>database and query alerts or failures</w:t>
      </w:r>
    </w:p>
    <w:p w14:paraId="4A235253" w14:textId="77777777" w:rsidR="00172ED0" w:rsidRPr="00066566" w:rsidRDefault="00172ED0" w:rsidP="00066566">
      <w:pPr>
        <w:pStyle w:val="Bullets1"/>
        <w:rPr>
          <w:rStyle w:val="IntenseEmphasis"/>
        </w:rPr>
      </w:pPr>
      <w:r w:rsidRPr="00066566">
        <w:rPr>
          <w:rStyle w:val="IntenseEmphasis"/>
        </w:rPr>
        <w:t>database structure changes</w:t>
      </w:r>
    </w:p>
    <w:p w14:paraId="481A1C15" w14:textId="77777777" w:rsidR="00172ED0" w:rsidRPr="00066566" w:rsidRDefault="00172ED0" w:rsidP="00066566">
      <w:pPr>
        <w:pStyle w:val="Bullets1"/>
        <w:rPr>
          <w:rStyle w:val="IntenseEmphasis"/>
        </w:rPr>
      </w:pPr>
      <w:r w:rsidRPr="00066566">
        <w:rPr>
          <w:rStyle w:val="IntenseEmphasis"/>
        </w:rPr>
        <w:t>database administrator actions</w:t>
      </w:r>
    </w:p>
    <w:p w14:paraId="2CB43AFB" w14:textId="77777777" w:rsidR="00172ED0" w:rsidRPr="00066566" w:rsidRDefault="00172ED0" w:rsidP="00066566">
      <w:pPr>
        <w:pStyle w:val="Bullets1"/>
        <w:rPr>
          <w:rStyle w:val="IntenseEmphasis"/>
        </w:rPr>
      </w:pPr>
      <w:r w:rsidRPr="00066566">
        <w:rPr>
          <w:rStyle w:val="IntenseEmphasis"/>
        </w:rPr>
        <w:t>use of executable commands</w:t>
      </w:r>
    </w:p>
    <w:p w14:paraId="1947717F" w14:textId="77777777" w:rsidR="00172ED0" w:rsidRPr="00066566" w:rsidRDefault="00172ED0" w:rsidP="00066566">
      <w:pPr>
        <w:pStyle w:val="Bullets1"/>
        <w:rPr>
          <w:rStyle w:val="IntenseEmphasis"/>
        </w:rPr>
      </w:pPr>
      <w:proofErr w:type="gramStart"/>
      <w:r w:rsidRPr="00066566">
        <w:rPr>
          <w:rStyle w:val="IntenseEmphasis"/>
        </w:rPr>
        <w:t>database</w:t>
      </w:r>
      <w:proofErr w:type="gramEnd"/>
      <w:r w:rsidRPr="00066566">
        <w:rPr>
          <w:rStyle w:val="IntenseEmphasis"/>
        </w:rPr>
        <w:t xml:space="preserve"> logons and logoffs.</w:t>
      </w:r>
    </w:p>
    <w:p w14:paraId="64D9E575" w14:textId="2C5CFCA0" w:rsidR="00172ED0" w:rsidRDefault="00172ED0" w:rsidP="00172ED0">
      <w:pPr>
        <w:pStyle w:val="IntenseHeading"/>
      </w:pPr>
      <w:r>
        <w:t xml:space="preserve">Control: ISM-1758; Revision: </w:t>
      </w:r>
      <w:r w:rsidR="00001E9A">
        <w:t>1</w:t>
      </w:r>
      <w:r>
        <w:t xml:space="preserve">; Updated: </w:t>
      </w:r>
      <w:r w:rsidR="00001E9A">
        <w:t>Dec</w:t>
      </w:r>
      <w:r>
        <w:t>-22; Applicability: All; Essential Eight: N/A</w:t>
      </w:r>
    </w:p>
    <w:p w14:paraId="67D6937F" w14:textId="77777777" w:rsidR="00001E9A" w:rsidRPr="00845B51" w:rsidRDefault="00001E9A" w:rsidP="00001E9A">
      <w:pPr>
        <w:rPr>
          <w:rStyle w:val="IntenseEmphasis"/>
        </w:rPr>
      </w:pPr>
      <w:r>
        <w:rPr>
          <w:rStyle w:val="IntenseEmphasis"/>
        </w:rPr>
        <w:t>Database event logs are stored centrally.</w:t>
      </w:r>
    </w:p>
    <w:p w14:paraId="63F7390C" w14:textId="77777777" w:rsidR="00172ED0" w:rsidRDefault="00172ED0" w:rsidP="00172ED0">
      <w:pPr>
        <w:pStyle w:val="Heading3"/>
      </w:pPr>
      <w:r>
        <w:t>Further information</w:t>
      </w:r>
    </w:p>
    <w:p w14:paraId="3CCDB8CA" w14:textId="298363E4" w:rsidR="00172ED0" w:rsidRPr="00172ED0" w:rsidRDefault="00172ED0" w:rsidP="00172ED0">
      <w:pPr>
        <w:pStyle w:val="BodyText"/>
      </w:pPr>
      <w:r>
        <w:t xml:space="preserve">Further information on event logging can be found in the event logging and monitoring section of the </w:t>
      </w:r>
      <w:hyperlink r:id="rId11" w:tooltip="Guidelines for System Monitoring" w:history="1">
        <w:r>
          <w:rPr>
            <w:rStyle w:val="Hyperlink"/>
            <w:i/>
            <w:spacing w:val="5"/>
          </w:rPr>
          <w:t>Guidelines for System Monitoring</w:t>
        </w:r>
      </w:hyperlink>
      <w:r>
        <w:t>.</w:t>
      </w:r>
      <w:bookmarkStart w:id="7" w:name="_GoBack"/>
      <w:bookmarkEnd w:id="7"/>
    </w:p>
    <w:sectPr w:rsidR="00172ED0" w:rsidRPr="00172ED0" w:rsidSect="00824517">
      <w:headerReference w:type="default" r:id="rId12"/>
      <w:footerReference w:type="even" r:id="rId13"/>
      <w:footerReference w:type="default" r:id="rId14"/>
      <w:headerReference w:type="first" r:id="rId15"/>
      <w:footerReference w:type="first" r:id="rId16"/>
      <w:pgSz w:w="11901" w:h="16817"/>
      <w:pgMar w:top="2835" w:right="1134" w:bottom="1361" w:left="1021" w:header="851" w:footer="62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7671C8" w14:textId="77777777" w:rsidR="009557FE" w:rsidRDefault="009557FE" w:rsidP="0089728C">
      <w:pPr>
        <w:spacing w:after="0"/>
      </w:pPr>
      <w:r>
        <w:separator/>
      </w:r>
    </w:p>
  </w:endnote>
  <w:endnote w:type="continuationSeparator" w:id="0">
    <w:p w14:paraId="0F26C0C4" w14:textId="77777777" w:rsidR="009557FE" w:rsidRDefault="009557FE" w:rsidP="008972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94385169"/>
      <w:docPartObj>
        <w:docPartGallery w:val="Page Numbers (Bottom of Page)"/>
        <w:docPartUnique/>
      </w:docPartObj>
    </w:sdtPr>
    <w:sdtEndPr>
      <w:rPr>
        <w:rStyle w:val="PageNumber"/>
      </w:rPr>
    </w:sdtEndPr>
    <w:sdtContent>
      <w:p w14:paraId="3984248B" w14:textId="77777777"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7ACCFA" w14:textId="77777777" w:rsidR="00152217" w:rsidRDefault="00152217" w:rsidP="001522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19610894"/>
      <w:docPartObj>
        <w:docPartGallery w:val="Page Numbers (Bottom of Page)"/>
        <w:docPartUnique/>
      </w:docPartObj>
    </w:sdtPr>
    <w:sdtEndPr>
      <w:rPr>
        <w:rStyle w:val="PageNumber"/>
      </w:rPr>
    </w:sdtEndPr>
    <w:sdtContent>
      <w:p w14:paraId="73E95CDE" w14:textId="2FDFF909"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E12442">
          <w:rPr>
            <w:rStyle w:val="PageNumber"/>
            <w:noProof/>
          </w:rPr>
          <w:t>3</w:t>
        </w:r>
        <w:r>
          <w:rPr>
            <w:rStyle w:val="PageNumber"/>
          </w:rPr>
          <w:fldChar w:fldCharType="end"/>
        </w:r>
      </w:p>
    </w:sdtContent>
  </w:sdt>
  <w:p w14:paraId="5A9CB412" w14:textId="77777777" w:rsidR="00AD6E38" w:rsidRDefault="00AD6E38" w:rsidP="00152217">
    <w:pPr>
      <w:pStyle w:val="Footer"/>
      <w:ind w:right="360"/>
    </w:pPr>
    <w:r>
      <w:rPr>
        <w:noProof/>
        <w:lang w:eastAsia="en-AU"/>
      </w:rPr>
      <w:drawing>
        <wp:anchor distT="0" distB="0" distL="114300" distR="114300" simplePos="0" relativeHeight="251659264" behindDoc="1" locked="1" layoutInCell="1" allowOverlap="1" wp14:anchorId="778E4E76" wp14:editId="29650BAA">
          <wp:simplePos x="0" y="0"/>
          <wp:positionH relativeFrom="page">
            <wp:align>center</wp:align>
          </wp:positionH>
          <wp:positionV relativeFrom="page">
            <wp:align>bottom</wp:align>
          </wp:positionV>
          <wp:extent cx="7560000" cy="7020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SC-A4-brief-footer.gif"/>
                  <pic:cNvPicPr/>
                </pic:nvPicPr>
                <pic:blipFill>
                  <a:blip r:embed="rId1"/>
                  <a:stretch>
                    <a:fillRect/>
                  </a:stretch>
                </pic:blipFill>
                <pic:spPr>
                  <a:xfrm>
                    <a:off x="0" y="0"/>
                    <a:ext cx="7560000" cy="702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762341181"/>
      <w:docPartObj>
        <w:docPartGallery w:val="Page Numbers (Bottom of Page)"/>
        <w:docPartUnique/>
      </w:docPartObj>
    </w:sdtPr>
    <w:sdtEndPr>
      <w:rPr>
        <w:rStyle w:val="PageNumber"/>
      </w:rPr>
    </w:sdtEndPr>
    <w:sdtContent>
      <w:p w14:paraId="414533F2" w14:textId="4DEB73A4" w:rsidR="000D1906" w:rsidRDefault="000D1906" w:rsidP="000D190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E12442">
          <w:rPr>
            <w:rStyle w:val="PageNumber"/>
            <w:noProof/>
          </w:rPr>
          <w:t>1</w:t>
        </w:r>
        <w:r>
          <w:rPr>
            <w:rStyle w:val="PageNumber"/>
          </w:rPr>
          <w:fldChar w:fldCharType="end"/>
        </w:r>
      </w:p>
    </w:sdtContent>
  </w:sdt>
  <w:p w14:paraId="16E6B28B" w14:textId="77777777" w:rsidR="008303C3" w:rsidRDefault="00322020">
    <w:pPr>
      <w:pStyle w:val="Footer"/>
    </w:pPr>
    <w:r>
      <w:rPr>
        <w:noProof/>
        <w:lang w:eastAsia="en-AU"/>
      </w:rPr>
      <w:drawing>
        <wp:anchor distT="0" distB="0" distL="114300" distR="114300" simplePos="0" relativeHeight="251661312" behindDoc="1" locked="0" layoutInCell="1" allowOverlap="1" wp14:anchorId="277460B0" wp14:editId="36AE0925">
          <wp:simplePos x="0" y="0"/>
          <wp:positionH relativeFrom="page">
            <wp:align>center</wp:align>
          </wp:positionH>
          <wp:positionV relativeFrom="page">
            <wp:align>bottom</wp:align>
          </wp:positionV>
          <wp:extent cx="7560000" cy="705600"/>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149-ACSC-Factsheet-Newsletter-Footer.gif"/>
                  <pic:cNvPicPr/>
                </pic:nvPicPr>
                <pic:blipFill>
                  <a:blip r:embed="rId1"/>
                  <a:stretch>
                    <a:fillRect/>
                  </a:stretch>
                </pic:blipFill>
                <pic:spPr>
                  <a:xfrm>
                    <a:off x="0" y="0"/>
                    <a:ext cx="7560000" cy="705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3241C5" w14:textId="77777777" w:rsidR="009557FE" w:rsidRDefault="009557FE" w:rsidP="0089728C">
      <w:pPr>
        <w:spacing w:after="0"/>
      </w:pPr>
      <w:r>
        <w:separator/>
      </w:r>
    </w:p>
  </w:footnote>
  <w:footnote w:type="continuationSeparator" w:id="0">
    <w:p w14:paraId="654619D8" w14:textId="77777777" w:rsidR="009557FE" w:rsidRDefault="009557FE" w:rsidP="008972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D7200" w14:textId="77777777" w:rsidR="0089728C" w:rsidRDefault="0089728C">
    <w:pPr>
      <w:pStyle w:val="Header"/>
    </w:pPr>
    <w:r>
      <w:rPr>
        <w:noProof/>
        <w:lang w:eastAsia="en-AU"/>
      </w:rPr>
      <w:drawing>
        <wp:anchor distT="0" distB="0" distL="114300" distR="114300" simplePos="0" relativeHeight="251658240" behindDoc="0" locked="1" layoutInCell="1" allowOverlap="0" wp14:anchorId="2F51E0AE" wp14:editId="73254328">
          <wp:simplePos x="0" y="0"/>
          <wp:positionH relativeFrom="page">
            <wp:posOffset>0</wp:posOffset>
          </wp:positionH>
          <wp:positionV relativeFrom="page">
            <wp:posOffset>0</wp:posOffset>
          </wp:positionV>
          <wp:extent cx="7556400" cy="1929600"/>
          <wp:effectExtent l="0" t="0" r="63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SC-A4-brief-header.gif"/>
                  <pic:cNvPicPr/>
                </pic:nvPicPr>
                <pic:blipFill>
                  <a:blip r:embed="rId1"/>
                  <a:stretch>
                    <a:fillRect/>
                  </a:stretch>
                </pic:blipFill>
                <pic:spPr>
                  <a:xfrm>
                    <a:off x="0" y="0"/>
                    <a:ext cx="7556400" cy="1929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BE313" w14:textId="77777777" w:rsidR="00B363D4" w:rsidRDefault="00B363D4">
    <w:pPr>
      <w:pStyle w:val="Header"/>
    </w:pPr>
    <w:r>
      <w:rPr>
        <w:noProof/>
        <w:lang w:eastAsia="en-AU"/>
      </w:rPr>
      <w:drawing>
        <wp:anchor distT="0" distB="0" distL="114300" distR="114300" simplePos="0" relativeHeight="251660288" behindDoc="1" locked="0" layoutInCell="1" allowOverlap="1" wp14:anchorId="247D49E8" wp14:editId="75891841">
          <wp:simplePos x="0" y="0"/>
          <wp:positionH relativeFrom="page">
            <wp:posOffset>6350</wp:posOffset>
          </wp:positionH>
          <wp:positionV relativeFrom="page">
            <wp:posOffset>0</wp:posOffset>
          </wp:positionV>
          <wp:extent cx="7546340" cy="3474720"/>
          <wp:effectExtent l="0" t="0" r="0" b="508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SC-A4-report-cover.gif"/>
                  <pic:cNvPicPr/>
                </pic:nvPicPr>
                <pic:blipFill>
                  <a:blip r:embed="rId1"/>
                  <a:stretch>
                    <a:fillRect/>
                  </a:stretch>
                </pic:blipFill>
                <pic:spPr>
                  <a:xfrm>
                    <a:off x="0" y="0"/>
                    <a:ext cx="7546340" cy="3474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5F7"/>
    <w:multiLevelType w:val="hybridMultilevel"/>
    <w:tmpl w:val="53F8E8FA"/>
    <w:lvl w:ilvl="0" w:tplc="786431D6">
      <w:start w:val="1"/>
      <w:numFmt w:val="bullet"/>
      <w:lvlText w:val=""/>
      <w:lvlJc w:val="left"/>
      <w:pPr>
        <w:ind w:left="794" w:hanging="34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90E7F"/>
    <w:multiLevelType w:val="multilevel"/>
    <w:tmpl w:val="A73ADF0E"/>
    <w:styleLink w:val="TableNumbers"/>
    <w:lvl w:ilvl="0">
      <w:start w:val="1"/>
      <w:numFmt w:val="decimal"/>
      <w:pStyle w:val="TableNumbers1"/>
      <w:lvlText w:val="%1."/>
      <w:lvlJc w:val="left"/>
      <w:pPr>
        <w:ind w:left="360" w:hanging="360"/>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343D0C"/>
    <w:multiLevelType w:val="hybridMultilevel"/>
    <w:tmpl w:val="9036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17741F"/>
    <w:multiLevelType w:val="multilevel"/>
    <w:tmpl w:val="FB5EDE4A"/>
    <w:styleLink w:val="Numbers"/>
    <w:lvl w:ilvl="0">
      <w:start w:val="1"/>
      <w:numFmt w:val="decimal"/>
      <w:pStyle w:val="Numbers1"/>
      <w:lvlText w:val="%1."/>
      <w:lvlJc w:val="left"/>
      <w:pPr>
        <w:ind w:left="340" w:hanging="227"/>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A111947"/>
    <w:multiLevelType w:val="multilevel"/>
    <w:tmpl w:val="4BBA7D84"/>
    <w:styleLink w:val="BulletNumberStarter"/>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68A077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727115B"/>
    <w:multiLevelType w:val="multilevel"/>
    <w:tmpl w:val="AB1A76AC"/>
    <w:styleLink w:val="Headings"/>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7" w15:restartNumberingAfterBreak="0">
    <w:nsid w:val="425E6081"/>
    <w:multiLevelType w:val="multilevel"/>
    <w:tmpl w:val="0DAA6E8A"/>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43944A01"/>
    <w:multiLevelType w:val="multilevel"/>
    <w:tmpl w:val="53F8E8FA"/>
    <w:lvl w:ilvl="0">
      <w:start w:val="1"/>
      <w:numFmt w:val="bullet"/>
      <w:lvlText w:val=""/>
      <w:lvlJc w:val="left"/>
      <w:pPr>
        <w:ind w:left="794" w:hanging="34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61551AE"/>
    <w:multiLevelType w:val="hybridMultilevel"/>
    <w:tmpl w:val="8CBEC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591491"/>
    <w:multiLevelType w:val="hybridMultilevel"/>
    <w:tmpl w:val="797AB1BA"/>
    <w:lvl w:ilvl="0" w:tplc="B9766958">
      <w:start w:val="1"/>
      <w:numFmt w:val="bullet"/>
      <w:lvlText w:val="—"/>
      <w:lvlJc w:val="left"/>
      <w:pPr>
        <w:ind w:left="1021" w:hanging="341"/>
      </w:pPr>
      <w:rPr>
        <w:rFonts w:asciiTheme="minorHAnsi" w:hAnsiTheme="minorHAnsi" w:hint="default"/>
        <w:color w:val="80C58C"/>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B066E"/>
    <w:multiLevelType w:val="multilevel"/>
    <w:tmpl w:val="F5FEB046"/>
    <w:lvl w:ilvl="0">
      <w:start w:val="1"/>
      <w:numFmt w:val="bullet"/>
      <w:pStyle w:val="Bullets1"/>
      <w:lvlText w:val=""/>
      <w:lvlJc w:val="left"/>
      <w:pPr>
        <w:ind w:left="454" w:hanging="341"/>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6D5940D5"/>
    <w:multiLevelType w:val="multilevel"/>
    <w:tmpl w:val="696A65AC"/>
    <w:styleLink w:val="Bullets"/>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7E3F7F3A"/>
    <w:multiLevelType w:val="hybridMultilevel"/>
    <w:tmpl w:val="2D3E3190"/>
    <w:lvl w:ilvl="0" w:tplc="CF1CF9FC">
      <w:start w:val="1"/>
      <w:numFmt w:val="bullet"/>
      <w:pStyle w:val="TableBullets1"/>
      <w:lvlText w:val=""/>
      <w:lvlJc w:val="left"/>
      <w:pPr>
        <w:ind w:left="227" w:hanging="227"/>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3"/>
  </w:num>
  <w:num w:numId="4">
    <w:abstractNumId w:val="1"/>
  </w:num>
  <w:num w:numId="5">
    <w:abstractNumId w:val="4"/>
  </w:num>
  <w:num w:numId="6">
    <w:abstractNumId w:val="2"/>
  </w:num>
  <w:num w:numId="7">
    <w:abstractNumId w:val="9"/>
  </w:num>
  <w:num w:numId="8">
    <w:abstractNumId w:val="0"/>
  </w:num>
  <w:num w:numId="9">
    <w:abstractNumId w:val="8"/>
  </w:num>
  <w:num w:numId="10">
    <w:abstractNumId w:val="10"/>
  </w:num>
  <w:num w:numId="11">
    <w:abstractNumId w:val="11"/>
  </w:num>
  <w:num w:numId="12">
    <w:abstractNumId w:val="7"/>
  </w:num>
  <w:num w:numId="13">
    <w:abstractNumId w:val="5"/>
  </w:num>
  <w:num w:numId="14">
    <w:abstractNumId w:val="13"/>
  </w:num>
  <w:num w:numId="15">
    <w:abstractNumId w:val="11"/>
  </w:num>
  <w:num w:numId="16">
    <w:abstractNumId w:val="11"/>
  </w:num>
  <w:num w:numId="17">
    <w:abstractNumId w:val="11"/>
  </w:num>
  <w:num w:numId="18">
    <w:abstractNumId w:val="11"/>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517"/>
    <w:rsid w:val="00001E9A"/>
    <w:rsid w:val="000045B7"/>
    <w:rsid w:val="00007DE9"/>
    <w:rsid w:val="00015AE4"/>
    <w:rsid w:val="0001712C"/>
    <w:rsid w:val="00023B93"/>
    <w:rsid w:val="00043026"/>
    <w:rsid w:val="000650F5"/>
    <w:rsid w:val="000664D2"/>
    <w:rsid w:val="00066566"/>
    <w:rsid w:val="0009277E"/>
    <w:rsid w:val="000B6C00"/>
    <w:rsid w:val="000D1412"/>
    <w:rsid w:val="000D1906"/>
    <w:rsid w:val="000E4956"/>
    <w:rsid w:val="000F0FE6"/>
    <w:rsid w:val="000F28B8"/>
    <w:rsid w:val="000F2AEA"/>
    <w:rsid w:val="000F2DF1"/>
    <w:rsid w:val="000F3766"/>
    <w:rsid w:val="001041D9"/>
    <w:rsid w:val="0010575A"/>
    <w:rsid w:val="00111F0C"/>
    <w:rsid w:val="00115019"/>
    <w:rsid w:val="001231A3"/>
    <w:rsid w:val="0012343D"/>
    <w:rsid w:val="00136B4C"/>
    <w:rsid w:val="00145E2D"/>
    <w:rsid w:val="00152217"/>
    <w:rsid w:val="00154289"/>
    <w:rsid w:val="00172ED0"/>
    <w:rsid w:val="00174710"/>
    <w:rsid w:val="001763D4"/>
    <w:rsid w:val="001B1E6E"/>
    <w:rsid w:val="001B5B57"/>
    <w:rsid w:val="001B719E"/>
    <w:rsid w:val="001C53CE"/>
    <w:rsid w:val="001D4DCF"/>
    <w:rsid w:val="001E427E"/>
    <w:rsid w:val="001E5737"/>
    <w:rsid w:val="001E66CE"/>
    <w:rsid w:val="001F778C"/>
    <w:rsid w:val="00221DC2"/>
    <w:rsid w:val="0024078F"/>
    <w:rsid w:val="0024127B"/>
    <w:rsid w:val="002573D5"/>
    <w:rsid w:val="00265DCB"/>
    <w:rsid w:val="00282DA0"/>
    <w:rsid w:val="002A41E1"/>
    <w:rsid w:val="002B6574"/>
    <w:rsid w:val="002C3E81"/>
    <w:rsid w:val="002C5737"/>
    <w:rsid w:val="002F235F"/>
    <w:rsid w:val="002F7D3C"/>
    <w:rsid w:val="00302186"/>
    <w:rsid w:val="003131AB"/>
    <w:rsid w:val="003217BE"/>
    <w:rsid w:val="00322020"/>
    <w:rsid w:val="003D3B1D"/>
    <w:rsid w:val="003D5DBE"/>
    <w:rsid w:val="003F1CA6"/>
    <w:rsid w:val="003F786A"/>
    <w:rsid w:val="00401C13"/>
    <w:rsid w:val="00404841"/>
    <w:rsid w:val="00412059"/>
    <w:rsid w:val="00441E79"/>
    <w:rsid w:val="004567AA"/>
    <w:rsid w:val="00483A58"/>
    <w:rsid w:val="00483FEE"/>
    <w:rsid w:val="004C479B"/>
    <w:rsid w:val="004D7F17"/>
    <w:rsid w:val="004E7F37"/>
    <w:rsid w:val="00507600"/>
    <w:rsid w:val="00512FD3"/>
    <w:rsid w:val="005515D0"/>
    <w:rsid w:val="005642A7"/>
    <w:rsid w:val="00564ABA"/>
    <w:rsid w:val="00573414"/>
    <w:rsid w:val="00581423"/>
    <w:rsid w:val="0058536A"/>
    <w:rsid w:val="00594B1C"/>
    <w:rsid w:val="00595A87"/>
    <w:rsid w:val="005B6060"/>
    <w:rsid w:val="005C23BF"/>
    <w:rsid w:val="005D1715"/>
    <w:rsid w:val="005F1B6A"/>
    <w:rsid w:val="00606DA2"/>
    <w:rsid w:val="00616EBA"/>
    <w:rsid w:val="00632C08"/>
    <w:rsid w:val="00653BDD"/>
    <w:rsid w:val="006554E5"/>
    <w:rsid w:val="00660F20"/>
    <w:rsid w:val="0067074A"/>
    <w:rsid w:val="00672994"/>
    <w:rsid w:val="006B669A"/>
    <w:rsid w:val="006C15C5"/>
    <w:rsid w:val="006C3841"/>
    <w:rsid w:val="006D665E"/>
    <w:rsid w:val="006E697E"/>
    <w:rsid w:val="00736A76"/>
    <w:rsid w:val="00752C6B"/>
    <w:rsid w:val="00763D8B"/>
    <w:rsid w:val="007A74DF"/>
    <w:rsid w:val="007B3C28"/>
    <w:rsid w:val="007B48AD"/>
    <w:rsid w:val="007B5102"/>
    <w:rsid w:val="007D772D"/>
    <w:rsid w:val="007F565D"/>
    <w:rsid w:val="00801123"/>
    <w:rsid w:val="0080157C"/>
    <w:rsid w:val="008017CB"/>
    <w:rsid w:val="00803763"/>
    <w:rsid w:val="00806AA5"/>
    <w:rsid w:val="00820F20"/>
    <w:rsid w:val="0082116C"/>
    <w:rsid w:val="00824517"/>
    <w:rsid w:val="00825754"/>
    <w:rsid w:val="008303C3"/>
    <w:rsid w:val="008328C1"/>
    <w:rsid w:val="008359BA"/>
    <w:rsid w:val="0083727D"/>
    <w:rsid w:val="00844C2D"/>
    <w:rsid w:val="00851AEE"/>
    <w:rsid w:val="0085542E"/>
    <w:rsid w:val="0089721C"/>
    <w:rsid w:val="0089728C"/>
    <w:rsid w:val="008B259D"/>
    <w:rsid w:val="008C11A6"/>
    <w:rsid w:val="008C3BA5"/>
    <w:rsid w:val="00922980"/>
    <w:rsid w:val="009345F1"/>
    <w:rsid w:val="009557FE"/>
    <w:rsid w:val="00961072"/>
    <w:rsid w:val="00963225"/>
    <w:rsid w:val="0097182E"/>
    <w:rsid w:val="009863B6"/>
    <w:rsid w:val="009D3149"/>
    <w:rsid w:val="009E5417"/>
    <w:rsid w:val="009E750F"/>
    <w:rsid w:val="009F0CB2"/>
    <w:rsid w:val="009F5753"/>
    <w:rsid w:val="00A04D96"/>
    <w:rsid w:val="00A0629B"/>
    <w:rsid w:val="00A066C8"/>
    <w:rsid w:val="00A11938"/>
    <w:rsid w:val="00A51E17"/>
    <w:rsid w:val="00A52E3A"/>
    <w:rsid w:val="00A56CD9"/>
    <w:rsid w:val="00A75503"/>
    <w:rsid w:val="00A90D1B"/>
    <w:rsid w:val="00AB5A44"/>
    <w:rsid w:val="00AC78F4"/>
    <w:rsid w:val="00AD6E38"/>
    <w:rsid w:val="00AF6C02"/>
    <w:rsid w:val="00B00D13"/>
    <w:rsid w:val="00B10C25"/>
    <w:rsid w:val="00B1778A"/>
    <w:rsid w:val="00B25AE2"/>
    <w:rsid w:val="00B363D4"/>
    <w:rsid w:val="00B716F4"/>
    <w:rsid w:val="00B760FC"/>
    <w:rsid w:val="00B84602"/>
    <w:rsid w:val="00BA549D"/>
    <w:rsid w:val="00BC093A"/>
    <w:rsid w:val="00BC4ACC"/>
    <w:rsid w:val="00BC5D5B"/>
    <w:rsid w:val="00BE75CD"/>
    <w:rsid w:val="00C1415C"/>
    <w:rsid w:val="00C217A8"/>
    <w:rsid w:val="00C24A74"/>
    <w:rsid w:val="00C34996"/>
    <w:rsid w:val="00C7587A"/>
    <w:rsid w:val="00CA3DFC"/>
    <w:rsid w:val="00CB3421"/>
    <w:rsid w:val="00CB58CD"/>
    <w:rsid w:val="00CD112C"/>
    <w:rsid w:val="00CD5925"/>
    <w:rsid w:val="00CE557A"/>
    <w:rsid w:val="00CE775A"/>
    <w:rsid w:val="00D1410C"/>
    <w:rsid w:val="00D215DC"/>
    <w:rsid w:val="00D50C7C"/>
    <w:rsid w:val="00D5493C"/>
    <w:rsid w:val="00D57F79"/>
    <w:rsid w:val="00D6311A"/>
    <w:rsid w:val="00D64FAC"/>
    <w:rsid w:val="00D74C58"/>
    <w:rsid w:val="00D83D62"/>
    <w:rsid w:val="00D861C0"/>
    <w:rsid w:val="00D904F0"/>
    <w:rsid w:val="00D91378"/>
    <w:rsid w:val="00D932E9"/>
    <w:rsid w:val="00D95112"/>
    <w:rsid w:val="00DB306A"/>
    <w:rsid w:val="00DB6119"/>
    <w:rsid w:val="00DB6ECD"/>
    <w:rsid w:val="00DB7BF6"/>
    <w:rsid w:val="00DD1408"/>
    <w:rsid w:val="00DD356D"/>
    <w:rsid w:val="00DD6AB6"/>
    <w:rsid w:val="00DE5142"/>
    <w:rsid w:val="00DF0A91"/>
    <w:rsid w:val="00DF14DA"/>
    <w:rsid w:val="00E12442"/>
    <w:rsid w:val="00E24D7F"/>
    <w:rsid w:val="00E2618C"/>
    <w:rsid w:val="00E5392F"/>
    <w:rsid w:val="00E63375"/>
    <w:rsid w:val="00E6745A"/>
    <w:rsid w:val="00E775BE"/>
    <w:rsid w:val="00E7765A"/>
    <w:rsid w:val="00E84012"/>
    <w:rsid w:val="00E97142"/>
    <w:rsid w:val="00EA0724"/>
    <w:rsid w:val="00EA6251"/>
    <w:rsid w:val="00EB0C14"/>
    <w:rsid w:val="00EB5FF1"/>
    <w:rsid w:val="00EB6414"/>
    <w:rsid w:val="00EC07EB"/>
    <w:rsid w:val="00ED72FB"/>
    <w:rsid w:val="00EF3804"/>
    <w:rsid w:val="00EF3D3D"/>
    <w:rsid w:val="00F221B0"/>
    <w:rsid w:val="00F22D02"/>
    <w:rsid w:val="00F2352D"/>
    <w:rsid w:val="00F33810"/>
    <w:rsid w:val="00F46D71"/>
    <w:rsid w:val="00F5341C"/>
    <w:rsid w:val="00F97AD7"/>
    <w:rsid w:val="00FA5A7B"/>
    <w:rsid w:val="00FC35D9"/>
    <w:rsid w:val="00FD3A2E"/>
    <w:rsid w:val="00FD6644"/>
    <w:rsid w:val="00FE16F8"/>
    <w:rsid w:val="00FE18A4"/>
    <w:rsid w:val="00FF43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6017"/>
    <o:shapelayout v:ext="edit">
      <o:idmap v:ext="edit" data="1"/>
    </o:shapelayout>
  </w:shapeDefaults>
  <w:decimalSymbol w:val="."/>
  <w:listSeparator w:val=","/>
  <w14:docId w14:val="3429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Theme="minorHAnsi" w:hAnsi="Courier" w:cs="Times New Roman"/>
        <w:lang w:val="en-AU" w:eastAsia="en-US" w:bidi="ar-SA"/>
      </w:rPr>
    </w:rPrDefault>
    <w:pPrDefault/>
  </w:docDefaults>
  <w:latentStyles w:defLockedState="0" w:defUIPriority="99" w:defSemiHidden="0" w:defUnhideWhenUsed="0" w:defQFormat="0" w:count="371">
    <w:lsdException w:name="Normal" w:uiPriority="96"/>
    <w:lsdException w:name="heading 1" w:uiPriority="4" w:qFormat="1"/>
    <w:lsdException w:name="heading 2" w:uiPriority="4" w:qFormat="1"/>
    <w:lsdException w:name="heading 3" w:uiPriority="4" w:qFormat="1"/>
    <w:lsdException w:name="heading 4" w:uiPriority="0"/>
    <w:lsdException w:name="heading 5" w:semiHidden="1" w:uiPriority="0"/>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uiPriority="0" w:unhideWhenUsed="1"/>
    <w:lsdException w:name="footer" w:uiPriority="98"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lsdException w:name="Salutation" w:semiHidden="1"/>
    <w:lsdException w:name="Date" w:semiHidden="1" w:uiPriority="0"/>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9"/>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6"/>
    <w:rsid w:val="0082116C"/>
    <w:pPr>
      <w:spacing w:after="120"/>
    </w:pPr>
    <w:rPr>
      <w:rFonts w:ascii="Calibri" w:hAnsi="Calibri"/>
    </w:rPr>
  </w:style>
  <w:style w:type="paragraph" w:styleId="Heading1">
    <w:name w:val="heading 1"/>
    <w:next w:val="BodyText"/>
    <w:link w:val="Heading1Char"/>
    <w:uiPriority w:val="4"/>
    <w:qFormat/>
    <w:rsid w:val="00CA3DFC"/>
    <w:pPr>
      <w:keepNext/>
      <w:keepLines/>
      <w:spacing w:after="240"/>
      <w:outlineLvl w:val="0"/>
    </w:pPr>
    <w:rPr>
      <w:rFonts w:ascii="Calibri Light" w:eastAsiaTheme="majorEastAsia" w:hAnsi="Calibri Light" w:cs="Times New Roman (Headings CS)"/>
      <w:bCs/>
      <w:color w:val="001E45"/>
      <w:sz w:val="48"/>
      <w:szCs w:val="28"/>
    </w:rPr>
  </w:style>
  <w:style w:type="paragraph" w:styleId="Heading2">
    <w:name w:val="heading 2"/>
    <w:next w:val="BodyText"/>
    <w:link w:val="Heading2Char"/>
    <w:uiPriority w:val="4"/>
    <w:qFormat/>
    <w:rsid w:val="00CA3DFC"/>
    <w:pPr>
      <w:keepNext/>
      <w:keepLines/>
      <w:spacing w:after="240"/>
      <w:outlineLvl w:val="1"/>
    </w:pPr>
    <w:rPr>
      <w:rFonts w:ascii="Calibri" w:eastAsiaTheme="majorEastAsia" w:hAnsi="Calibri" w:cs="Times New Roman (Headings CS)"/>
      <w:b/>
      <w:bCs/>
      <w:color w:val="00B5D1"/>
      <w:sz w:val="30"/>
      <w:szCs w:val="26"/>
    </w:rPr>
  </w:style>
  <w:style w:type="paragraph" w:styleId="Heading3">
    <w:name w:val="heading 3"/>
    <w:next w:val="BodyText"/>
    <w:link w:val="Heading3Char"/>
    <w:uiPriority w:val="4"/>
    <w:qFormat/>
    <w:rsid w:val="00CA3DFC"/>
    <w:pPr>
      <w:keepNext/>
      <w:keepLines/>
      <w:spacing w:after="240"/>
      <w:outlineLvl w:val="2"/>
    </w:pPr>
    <w:rPr>
      <w:rFonts w:asciiTheme="minorHAnsi" w:eastAsiaTheme="majorEastAsia" w:hAnsiTheme="minorHAnsi" w:cs="Times New Roman (Headings CS)"/>
      <w:b/>
      <w:bCs/>
      <w:sz w:val="24"/>
    </w:rPr>
  </w:style>
  <w:style w:type="paragraph" w:styleId="Heading4">
    <w:name w:val="heading 4"/>
    <w:basedOn w:val="Heading3"/>
    <w:next w:val="BodyText"/>
    <w:link w:val="Heading4Char"/>
    <w:uiPriority w:val="4"/>
    <w:rsid w:val="00CA3DFC"/>
    <w:pPr>
      <w:outlineLvl w:val="3"/>
    </w:pPr>
    <w:rPr>
      <w:b w:val="0"/>
      <w:bCs w:val="0"/>
      <w:i/>
      <w:iCs/>
    </w:rPr>
  </w:style>
  <w:style w:type="paragraph" w:styleId="Heading5">
    <w:name w:val="heading 5"/>
    <w:basedOn w:val="Heading4"/>
    <w:next w:val="BodyText"/>
    <w:link w:val="Heading5Char"/>
    <w:uiPriority w:val="4"/>
    <w:rsid w:val="00CA3DFC"/>
    <w:pPr>
      <w:outlineLvl w:val="4"/>
    </w:pPr>
    <w:rPr>
      <w:sz w:val="20"/>
    </w:rPr>
  </w:style>
  <w:style w:type="paragraph" w:styleId="Heading6">
    <w:name w:val="heading 6"/>
    <w:next w:val="BodyText"/>
    <w:link w:val="Heading6Char"/>
    <w:uiPriority w:val="4"/>
    <w:semiHidden/>
    <w:qFormat/>
    <w:rsid w:val="009345F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next w:val="BodyText"/>
    <w:link w:val="Heading7Char"/>
    <w:uiPriority w:val="4"/>
    <w:semiHidden/>
    <w:qFormat/>
    <w:rsid w:val="009345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next w:val="BodyText"/>
    <w:link w:val="Heading8Char"/>
    <w:uiPriority w:val="4"/>
    <w:semiHidden/>
    <w:qFormat/>
    <w:rsid w:val="009345F1"/>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next w:val="BodyText"/>
    <w:link w:val="Heading9Char"/>
    <w:uiPriority w:val="4"/>
    <w:semiHidden/>
    <w:qFormat/>
    <w:rsid w:val="009345F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15AE4"/>
    <w:rPr>
      <w:rFonts w:ascii="Tahoma" w:hAnsi="Tahoma" w:cs="Tahoma"/>
      <w:sz w:val="16"/>
      <w:szCs w:val="16"/>
    </w:rPr>
  </w:style>
  <w:style w:type="character" w:customStyle="1" w:styleId="BalloonTextChar">
    <w:name w:val="Balloon Text Char"/>
    <w:basedOn w:val="DefaultParagraphFont"/>
    <w:link w:val="BalloonText"/>
    <w:uiPriority w:val="99"/>
    <w:semiHidden/>
    <w:rsid w:val="00844C2D"/>
    <w:rPr>
      <w:rFonts w:ascii="Tahoma" w:hAnsi="Tahoma" w:cs="Tahoma"/>
      <w:sz w:val="16"/>
      <w:szCs w:val="16"/>
    </w:rPr>
  </w:style>
  <w:style w:type="table" w:styleId="TableGrid">
    <w:name w:val="Table Grid"/>
    <w:basedOn w:val="TableNormal"/>
    <w:uiPriority w:val="59"/>
    <w:rsid w:val="00282DA0"/>
    <w:rPr>
      <w:rFonts w:asciiTheme="minorHAnsi" w:hAnsiTheme="minorHAnsi"/>
    </w:rPr>
    <w:tblPr>
      <w:tblBorders>
        <w:insideH w:val="single" w:sz="4" w:space="0" w:color="D9D9D9" w:themeColor="background1" w:themeShade="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tcPr>
    </w:tblStylePr>
    <w:tblStylePr w:type="lastRow">
      <w:tblPr/>
      <w:tcPr>
        <w:tcBorders>
          <w:insideH w:val="nil"/>
        </w:tcBorders>
      </w:tcPr>
    </w:tblStylePr>
  </w:style>
  <w:style w:type="character" w:customStyle="1" w:styleId="Heading1Char">
    <w:name w:val="Heading 1 Char"/>
    <w:basedOn w:val="DefaultParagraphFont"/>
    <w:link w:val="Heading1"/>
    <w:uiPriority w:val="4"/>
    <w:rsid w:val="00CA3DFC"/>
    <w:rPr>
      <w:rFonts w:ascii="Calibri Light" w:eastAsiaTheme="majorEastAsia" w:hAnsi="Calibri Light" w:cs="Times New Roman (Headings CS)"/>
      <w:bCs/>
      <w:color w:val="001E45"/>
      <w:sz w:val="48"/>
      <w:szCs w:val="28"/>
    </w:rPr>
  </w:style>
  <w:style w:type="paragraph" w:styleId="Footer">
    <w:name w:val="footer"/>
    <w:link w:val="FooterChar"/>
    <w:uiPriority w:val="98"/>
    <w:rsid w:val="00752C6B"/>
    <w:pPr>
      <w:tabs>
        <w:tab w:val="center" w:pos="4513"/>
        <w:tab w:val="right" w:pos="9026"/>
      </w:tabs>
    </w:pPr>
    <w:rPr>
      <w:rFonts w:asciiTheme="minorHAnsi" w:hAnsiTheme="minorHAnsi"/>
    </w:rPr>
  </w:style>
  <w:style w:type="character" w:customStyle="1" w:styleId="FooterChar">
    <w:name w:val="Footer Char"/>
    <w:basedOn w:val="DefaultParagraphFont"/>
    <w:link w:val="Footer"/>
    <w:uiPriority w:val="98"/>
    <w:rsid w:val="00A52E3A"/>
    <w:rPr>
      <w:rFonts w:asciiTheme="minorHAnsi" w:hAnsiTheme="minorHAnsi"/>
    </w:rPr>
  </w:style>
  <w:style w:type="paragraph" w:styleId="Header">
    <w:name w:val="header"/>
    <w:link w:val="HeaderChar"/>
    <w:uiPriority w:val="98"/>
    <w:rsid w:val="00752C6B"/>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8"/>
    <w:rsid w:val="00A52E3A"/>
    <w:rPr>
      <w:rFonts w:asciiTheme="minorHAnsi" w:hAnsiTheme="minorHAnsi"/>
    </w:rPr>
  </w:style>
  <w:style w:type="character" w:customStyle="1" w:styleId="Heading2Char">
    <w:name w:val="Heading 2 Char"/>
    <w:basedOn w:val="DefaultParagraphFont"/>
    <w:link w:val="Heading2"/>
    <w:uiPriority w:val="4"/>
    <w:rsid w:val="00CA3DFC"/>
    <w:rPr>
      <w:rFonts w:ascii="Calibri" w:eastAsiaTheme="majorEastAsia" w:hAnsi="Calibri" w:cs="Times New Roman (Headings CS)"/>
      <w:b/>
      <w:bCs/>
      <w:color w:val="00B5D1"/>
      <w:sz w:val="30"/>
      <w:szCs w:val="26"/>
    </w:rPr>
  </w:style>
  <w:style w:type="paragraph" w:styleId="BodyText">
    <w:name w:val="Body Text"/>
    <w:link w:val="BodyTextChar"/>
    <w:qFormat/>
    <w:rsid w:val="00EA0724"/>
    <w:pPr>
      <w:spacing w:after="120"/>
    </w:pPr>
    <w:rPr>
      <w:rFonts w:asciiTheme="minorHAnsi" w:hAnsiTheme="minorHAnsi"/>
    </w:rPr>
  </w:style>
  <w:style w:type="character" w:customStyle="1" w:styleId="BodyTextChar">
    <w:name w:val="Body Text Char"/>
    <w:basedOn w:val="DefaultParagraphFont"/>
    <w:link w:val="BodyText"/>
    <w:rsid w:val="002F7D3C"/>
    <w:rPr>
      <w:rFonts w:asciiTheme="minorHAnsi" w:hAnsiTheme="minorHAnsi"/>
    </w:rPr>
  </w:style>
  <w:style w:type="character" w:customStyle="1" w:styleId="Heading3Char">
    <w:name w:val="Heading 3 Char"/>
    <w:basedOn w:val="DefaultParagraphFont"/>
    <w:link w:val="Heading3"/>
    <w:uiPriority w:val="4"/>
    <w:rsid w:val="00CA3DFC"/>
    <w:rPr>
      <w:rFonts w:asciiTheme="minorHAnsi" w:eastAsiaTheme="majorEastAsia" w:hAnsiTheme="minorHAnsi" w:cs="Times New Roman (Headings CS)"/>
      <w:b/>
      <w:bCs/>
      <w:sz w:val="24"/>
    </w:rPr>
  </w:style>
  <w:style w:type="character" w:customStyle="1" w:styleId="Heading4Char">
    <w:name w:val="Heading 4 Char"/>
    <w:basedOn w:val="DefaultParagraphFont"/>
    <w:link w:val="Heading4"/>
    <w:uiPriority w:val="4"/>
    <w:rsid w:val="00CA3DFC"/>
    <w:rPr>
      <w:rFonts w:asciiTheme="minorHAnsi" w:eastAsiaTheme="majorEastAsia" w:hAnsiTheme="minorHAnsi" w:cs="Times New Roman (Headings CS)"/>
      <w:i/>
      <w:iCs/>
      <w:sz w:val="24"/>
    </w:rPr>
  </w:style>
  <w:style w:type="paragraph" w:styleId="Subtitle">
    <w:name w:val="Subtitle"/>
    <w:link w:val="SubtitleChar"/>
    <w:uiPriority w:val="37"/>
    <w:rsid w:val="008C11A6"/>
    <w:pPr>
      <w:numPr>
        <w:ilvl w:val="1"/>
      </w:numPr>
    </w:pPr>
    <w:rPr>
      <w:rFonts w:ascii="Calibri Light" w:eastAsiaTheme="majorEastAsia" w:hAnsi="Calibri Light" w:cs="Times New Roman (Headings CS)"/>
      <w:iCs/>
      <w:color w:val="001E45"/>
      <w:sz w:val="30"/>
      <w:szCs w:val="24"/>
    </w:rPr>
  </w:style>
  <w:style w:type="character" w:customStyle="1" w:styleId="SubtitleChar">
    <w:name w:val="Subtitle Char"/>
    <w:basedOn w:val="DefaultParagraphFont"/>
    <w:link w:val="Subtitle"/>
    <w:uiPriority w:val="37"/>
    <w:rsid w:val="008C11A6"/>
    <w:rPr>
      <w:rFonts w:ascii="Calibri Light" w:eastAsiaTheme="majorEastAsia" w:hAnsi="Calibri Light" w:cs="Times New Roman (Headings CS)"/>
      <w:iCs/>
      <w:color w:val="001E45"/>
      <w:sz w:val="30"/>
      <w:szCs w:val="24"/>
    </w:rPr>
  </w:style>
  <w:style w:type="paragraph" w:styleId="Title">
    <w:name w:val="Title"/>
    <w:link w:val="TitleChar"/>
    <w:uiPriority w:val="36"/>
    <w:rsid w:val="00265DCB"/>
    <w:pPr>
      <w:spacing w:after="300"/>
      <w:contextualSpacing/>
    </w:pPr>
    <w:rPr>
      <w:rFonts w:ascii="Calibri Light" w:eastAsiaTheme="majorEastAsia" w:hAnsi="Calibri Light" w:cs="Times New Roman (Headings CS)"/>
      <w:b/>
      <w:color w:val="001E45"/>
      <w:kern w:val="28"/>
      <w:sz w:val="56"/>
      <w:szCs w:val="52"/>
    </w:rPr>
  </w:style>
  <w:style w:type="character" w:customStyle="1" w:styleId="TitleChar">
    <w:name w:val="Title Char"/>
    <w:basedOn w:val="DefaultParagraphFont"/>
    <w:link w:val="Title"/>
    <w:uiPriority w:val="36"/>
    <w:rsid w:val="00265DCB"/>
    <w:rPr>
      <w:rFonts w:ascii="Calibri Light" w:eastAsiaTheme="majorEastAsia" w:hAnsi="Calibri Light" w:cs="Times New Roman (Headings CS)"/>
      <w:b/>
      <w:color w:val="001E45"/>
      <w:kern w:val="28"/>
      <w:sz w:val="56"/>
      <w:szCs w:val="52"/>
    </w:rPr>
  </w:style>
  <w:style w:type="paragraph" w:styleId="Caption">
    <w:name w:val="caption"/>
    <w:next w:val="BodyText"/>
    <w:uiPriority w:val="14"/>
    <w:rsid w:val="00EA0724"/>
    <w:pPr>
      <w:spacing w:after="200"/>
    </w:pPr>
    <w:rPr>
      <w:rFonts w:asciiTheme="minorHAnsi" w:hAnsiTheme="minorHAnsi"/>
      <w:b/>
      <w:bCs/>
      <w:color w:val="4F81BD" w:themeColor="accent1"/>
      <w:sz w:val="18"/>
      <w:szCs w:val="18"/>
    </w:rPr>
  </w:style>
  <w:style w:type="paragraph" w:styleId="Date">
    <w:name w:val="Date"/>
    <w:link w:val="DateChar"/>
    <w:uiPriority w:val="38"/>
    <w:rsid w:val="00EA0724"/>
    <w:rPr>
      <w:rFonts w:asciiTheme="minorHAnsi" w:hAnsiTheme="minorHAnsi"/>
    </w:rPr>
  </w:style>
  <w:style w:type="character" w:customStyle="1" w:styleId="DateChar">
    <w:name w:val="Date Char"/>
    <w:basedOn w:val="DefaultParagraphFont"/>
    <w:link w:val="Date"/>
    <w:uiPriority w:val="38"/>
    <w:rsid w:val="002F7D3C"/>
    <w:rPr>
      <w:rFonts w:asciiTheme="minorHAnsi" w:hAnsiTheme="minorHAnsi"/>
    </w:rPr>
  </w:style>
  <w:style w:type="paragraph" w:styleId="EndnoteText">
    <w:name w:val="endnote text"/>
    <w:link w:val="EndnoteTextChar"/>
    <w:uiPriority w:val="97"/>
    <w:rsid w:val="00EA0724"/>
    <w:rPr>
      <w:rFonts w:asciiTheme="minorHAnsi" w:hAnsiTheme="minorHAnsi"/>
    </w:rPr>
  </w:style>
  <w:style w:type="character" w:customStyle="1" w:styleId="EndnoteTextChar">
    <w:name w:val="Endnote Text Char"/>
    <w:basedOn w:val="DefaultParagraphFont"/>
    <w:link w:val="EndnoteText"/>
    <w:uiPriority w:val="97"/>
    <w:rsid w:val="00A52E3A"/>
    <w:rPr>
      <w:rFonts w:asciiTheme="minorHAnsi" w:hAnsiTheme="minorHAnsi"/>
    </w:rPr>
  </w:style>
  <w:style w:type="paragraph" w:styleId="FootnoteText">
    <w:name w:val="footnote text"/>
    <w:link w:val="FootnoteTextChar"/>
    <w:uiPriority w:val="97"/>
    <w:rsid w:val="00EA0724"/>
    <w:rPr>
      <w:rFonts w:asciiTheme="minorHAnsi" w:hAnsiTheme="minorHAnsi"/>
    </w:rPr>
  </w:style>
  <w:style w:type="character" w:customStyle="1" w:styleId="FootnoteTextChar">
    <w:name w:val="Footnote Text Char"/>
    <w:basedOn w:val="DefaultParagraphFont"/>
    <w:link w:val="FootnoteText"/>
    <w:uiPriority w:val="97"/>
    <w:rsid w:val="00A52E3A"/>
    <w:rPr>
      <w:rFonts w:asciiTheme="minorHAnsi" w:hAnsiTheme="minorHAnsi"/>
    </w:rPr>
  </w:style>
  <w:style w:type="paragraph" w:styleId="Quote">
    <w:name w:val="Quote"/>
    <w:link w:val="QuoteChar"/>
    <w:uiPriority w:val="9"/>
    <w:rsid w:val="00EA0724"/>
    <w:rPr>
      <w:rFonts w:asciiTheme="minorHAnsi" w:hAnsiTheme="minorHAnsi"/>
      <w:i/>
      <w:iCs/>
      <w:color w:val="000000" w:themeColor="text1"/>
    </w:rPr>
  </w:style>
  <w:style w:type="character" w:customStyle="1" w:styleId="QuoteChar">
    <w:name w:val="Quote Char"/>
    <w:basedOn w:val="DefaultParagraphFont"/>
    <w:link w:val="Quote"/>
    <w:uiPriority w:val="9"/>
    <w:rsid w:val="00D64FAC"/>
    <w:rPr>
      <w:rFonts w:asciiTheme="minorHAnsi" w:hAnsiTheme="minorHAnsi"/>
      <w:i/>
      <w:iCs/>
      <w:color w:val="000000" w:themeColor="text1"/>
    </w:rPr>
  </w:style>
  <w:style w:type="paragraph" w:styleId="TableofFigures">
    <w:name w:val="table of figures"/>
    <w:uiPriority w:val="39"/>
    <w:rsid w:val="00EA0724"/>
    <w:rPr>
      <w:rFonts w:asciiTheme="minorHAnsi" w:hAnsiTheme="minorHAnsi"/>
    </w:rPr>
  </w:style>
  <w:style w:type="paragraph" w:styleId="TOC1">
    <w:name w:val="toc 1"/>
    <w:uiPriority w:val="39"/>
    <w:rsid w:val="00282DA0"/>
    <w:pPr>
      <w:tabs>
        <w:tab w:val="right" w:pos="9356"/>
      </w:tabs>
      <w:spacing w:before="100" w:after="200"/>
    </w:pPr>
    <w:rPr>
      <w:rFonts w:asciiTheme="minorHAnsi" w:eastAsiaTheme="majorEastAsia" w:hAnsiTheme="minorHAnsi" w:cs="Times New Roman (Headings CS)"/>
      <w:b/>
      <w:bCs/>
      <w:color w:val="00B5D1"/>
      <w:sz w:val="30"/>
      <w:szCs w:val="26"/>
    </w:rPr>
  </w:style>
  <w:style w:type="paragraph" w:styleId="TOC2">
    <w:name w:val="toc 2"/>
    <w:uiPriority w:val="39"/>
    <w:rsid w:val="00282DA0"/>
    <w:pPr>
      <w:tabs>
        <w:tab w:val="right" w:pos="9356"/>
      </w:tabs>
      <w:spacing w:after="200"/>
    </w:pPr>
    <w:rPr>
      <w:rFonts w:asciiTheme="minorHAnsi" w:eastAsiaTheme="majorEastAsia" w:hAnsiTheme="minorHAnsi" w:cs="Times New Roman (Headings CS)"/>
      <w:b/>
      <w:bCs/>
      <w:sz w:val="24"/>
    </w:rPr>
  </w:style>
  <w:style w:type="paragraph" w:styleId="TOC3">
    <w:name w:val="toc 3"/>
    <w:uiPriority w:val="39"/>
    <w:rsid w:val="00282DA0"/>
    <w:pPr>
      <w:tabs>
        <w:tab w:val="right" w:pos="9356"/>
      </w:tabs>
      <w:spacing w:after="200"/>
      <w:ind w:left="397"/>
    </w:pPr>
    <w:rPr>
      <w:rFonts w:asciiTheme="minorHAnsi" w:hAnsiTheme="minorHAnsi"/>
    </w:rPr>
  </w:style>
  <w:style w:type="paragraph" w:styleId="TOCHeading">
    <w:name w:val="TOC Heading"/>
    <w:next w:val="BodyText"/>
    <w:uiPriority w:val="39"/>
    <w:rsid w:val="00282DA0"/>
    <w:pPr>
      <w:spacing w:after="480"/>
    </w:pPr>
    <w:rPr>
      <w:rFonts w:ascii="Calibri Light" w:eastAsiaTheme="majorEastAsia" w:hAnsi="Calibri Light" w:cs="Times New Roman (Headings CS)"/>
      <w:bCs/>
      <w:color w:val="001E45"/>
      <w:sz w:val="48"/>
      <w:szCs w:val="28"/>
    </w:rPr>
  </w:style>
  <w:style w:type="character" w:customStyle="1" w:styleId="Heading5Char">
    <w:name w:val="Heading 5 Char"/>
    <w:basedOn w:val="DefaultParagraphFont"/>
    <w:link w:val="Heading5"/>
    <w:uiPriority w:val="4"/>
    <w:rsid w:val="00CA3DFC"/>
    <w:rPr>
      <w:rFonts w:asciiTheme="minorHAnsi" w:eastAsiaTheme="majorEastAsia" w:hAnsiTheme="minorHAnsi" w:cs="Times New Roman (Headings CS)"/>
      <w:i/>
      <w:iCs/>
    </w:rPr>
  </w:style>
  <w:style w:type="character" w:customStyle="1" w:styleId="Heading6Char">
    <w:name w:val="Heading 6 Char"/>
    <w:basedOn w:val="DefaultParagraphFont"/>
    <w:link w:val="Heading6"/>
    <w:uiPriority w:val="4"/>
    <w:semiHidden/>
    <w:rsid w:val="002F7D3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4"/>
    <w:semiHidden/>
    <w:rsid w:val="002F7D3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4"/>
    <w:semiHidden/>
    <w:rsid w:val="002F7D3C"/>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4"/>
    <w:semiHidden/>
    <w:rsid w:val="002F7D3C"/>
    <w:rPr>
      <w:rFonts w:asciiTheme="majorHAnsi" w:eastAsiaTheme="majorEastAsia" w:hAnsiTheme="majorHAnsi" w:cstheme="majorBidi"/>
      <w:i/>
      <w:iCs/>
      <w:color w:val="404040" w:themeColor="text1" w:themeTint="BF"/>
    </w:rPr>
  </w:style>
  <w:style w:type="numbering" w:customStyle="1" w:styleId="Headings">
    <w:name w:val="Headings"/>
    <w:basedOn w:val="NoList"/>
    <w:uiPriority w:val="99"/>
    <w:rsid w:val="00D904F0"/>
    <w:pPr>
      <w:numPr>
        <w:numId w:val="1"/>
      </w:numPr>
    </w:pPr>
  </w:style>
  <w:style w:type="numbering" w:customStyle="1" w:styleId="Bullets">
    <w:name w:val="Bullets"/>
    <w:basedOn w:val="NoList"/>
    <w:uiPriority w:val="99"/>
    <w:rsid w:val="00EF3804"/>
    <w:pPr>
      <w:numPr>
        <w:numId w:val="2"/>
      </w:numPr>
    </w:pPr>
  </w:style>
  <w:style w:type="numbering" w:customStyle="1" w:styleId="Numbers">
    <w:name w:val="Numbers"/>
    <w:basedOn w:val="NoList"/>
    <w:uiPriority w:val="99"/>
    <w:rsid w:val="00EF3804"/>
    <w:pPr>
      <w:numPr>
        <w:numId w:val="3"/>
      </w:numPr>
    </w:pPr>
  </w:style>
  <w:style w:type="paragraph" w:customStyle="1" w:styleId="Bullets1">
    <w:name w:val="Bullets 1"/>
    <w:basedOn w:val="BodyText"/>
    <w:qFormat/>
    <w:rsid w:val="00DB6119"/>
    <w:pPr>
      <w:numPr>
        <w:numId w:val="11"/>
      </w:numPr>
    </w:pPr>
  </w:style>
  <w:style w:type="paragraph" w:customStyle="1" w:styleId="Tablecolumnheading">
    <w:name w:val="Table column heading"/>
    <w:basedOn w:val="TableText"/>
    <w:uiPriority w:val="96"/>
    <w:rsid w:val="0058536A"/>
    <w:rPr>
      <w:b/>
    </w:rPr>
  </w:style>
  <w:style w:type="paragraph" w:customStyle="1" w:styleId="Numbers1">
    <w:name w:val="Numbers 1"/>
    <w:basedOn w:val="BodyText"/>
    <w:rsid w:val="007B3C28"/>
    <w:pPr>
      <w:numPr>
        <w:numId w:val="3"/>
      </w:numPr>
      <w:ind w:left="453" w:hanging="340"/>
    </w:pPr>
  </w:style>
  <w:style w:type="paragraph" w:customStyle="1" w:styleId="Numbers2">
    <w:name w:val="Numbers 2"/>
    <w:basedOn w:val="BodyText"/>
    <w:rsid w:val="00DB6119"/>
  </w:style>
  <w:style w:type="paragraph" w:customStyle="1" w:styleId="TableText">
    <w:name w:val="Table Text"/>
    <w:uiPriority w:val="19"/>
    <w:qFormat/>
    <w:rsid w:val="0058536A"/>
    <w:pPr>
      <w:spacing w:after="60"/>
    </w:pPr>
    <w:rPr>
      <w:rFonts w:asciiTheme="minorHAnsi" w:hAnsiTheme="minorHAnsi"/>
    </w:rPr>
  </w:style>
  <w:style w:type="paragraph" w:customStyle="1" w:styleId="TableHeading">
    <w:name w:val="Table Heading"/>
    <w:basedOn w:val="Normal"/>
    <w:uiPriority w:val="21"/>
    <w:qFormat/>
    <w:rsid w:val="0082116C"/>
    <w:pPr>
      <w:spacing w:after="60"/>
    </w:pPr>
    <w:rPr>
      <w:rFonts w:eastAsia="Calibri"/>
      <w:b/>
    </w:rPr>
  </w:style>
  <w:style w:type="paragraph" w:customStyle="1" w:styleId="TableBullets2">
    <w:name w:val="Table Bullets 2"/>
    <w:basedOn w:val="TableText"/>
    <w:uiPriority w:val="20"/>
    <w:rsid w:val="00D50C7C"/>
  </w:style>
  <w:style w:type="paragraph" w:customStyle="1" w:styleId="TableBullets1">
    <w:name w:val="Table Bullets 1"/>
    <w:basedOn w:val="TableText"/>
    <w:uiPriority w:val="20"/>
    <w:rsid w:val="00D50C7C"/>
    <w:pPr>
      <w:numPr>
        <w:numId w:val="14"/>
      </w:numPr>
    </w:pPr>
  </w:style>
  <w:style w:type="paragraph" w:customStyle="1" w:styleId="TableNumbers1">
    <w:name w:val="Table Numbers 1"/>
    <w:basedOn w:val="TableText"/>
    <w:uiPriority w:val="20"/>
    <w:rsid w:val="00DB6119"/>
    <w:pPr>
      <w:numPr>
        <w:numId w:val="4"/>
      </w:numPr>
      <w:spacing w:after="120"/>
      <w:ind w:left="357" w:hanging="357"/>
    </w:pPr>
  </w:style>
  <w:style w:type="paragraph" w:customStyle="1" w:styleId="TableNumbers2">
    <w:name w:val="Table Numbers 2"/>
    <w:basedOn w:val="TableText"/>
    <w:uiPriority w:val="20"/>
    <w:rsid w:val="00DB6119"/>
  </w:style>
  <w:style w:type="numbering" w:customStyle="1" w:styleId="TableNumbers">
    <w:name w:val="Table Numbers"/>
    <w:basedOn w:val="NoList"/>
    <w:uiPriority w:val="99"/>
    <w:rsid w:val="00EF3804"/>
    <w:pPr>
      <w:numPr>
        <w:numId w:val="4"/>
      </w:numPr>
    </w:pPr>
  </w:style>
  <w:style w:type="numbering" w:customStyle="1" w:styleId="BulletNumberStarter">
    <w:name w:val="Bullet/Number Starter"/>
    <w:basedOn w:val="NoList"/>
    <w:uiPriority w:val="99"/>
    <w:rsid w:val="00EF3804"/>
    <w:pPr>
      <w:numPr>
        <w:numId w:val="5"/>
      </w:numPr>
    </w:pPr>
  </w:style>
  <w:style w:type="paragraph" w:styleId="ListParagraph">
    <w:name w:val="List Paragraph"/>
    <w:basedOn w:val="Normal"/>
    <w:uiPriority w:val="99"/>
    <w:semiHidden/>
    <w:qFormat/>
    <w:rsid w:val="00AD6E38"/>
    <w:pPr>
      <w:ind w:left="720"/>
      <w:contextualSpacing/>
    </w:pPr>
  </w:style>
  <w:style w:type="character" w:styleId="PageNumber">
    <w:name w:val="page number"/>
    <w:basedOn w:val="DefaultParagraphFont"/>
    <w:uiPriority w:val="99"/>
    <w:semiHidden/>
    <w:rsid w:val="00152217"/>
    <w:rPr>
      <w:b/>
      <w:sz w:val="24"/>
    </w:rPr>
  </w:style>
  <w:style w:type="paragraph" w:customStyle="1" w:styleId="Highlighttext">
    <w:name w:val="Highlight text"/>
    <w:basedOn w:val="Normal"/>
    <w:uiPriority w:val="96"/>
    <w:rsid w:val="00AB5A44"/>
    <w:pPr>
      <w:spacing w:before="120" w:after="280"/>
    </w:pPr>
    <w:rPr>
      <w:b/>
      <w:color w:val="F58146"/>
      <w:sz w:val="24"/>
    </w:rPr>
  </w:style>
  <w:style w:type="character" w:styleId="Hyperlink">
    <w:name w:val="Hyperlink"/>
    <w:basedOn w:val="DefaultParagraphFont"/>
    <w:uiPriority w:val="99"/>
    <w:unhideWhenUsed/>
    <w:rsid w:val="00BE75CD"/>
    <w:rPr>
      <w:color w:val="0000FF" w:themeColor="hyperlink"/>
      <w:u w:val="single"/>
    </w:rPr>
  </w:style>
  <w:style w:type="character" w:styleId="BookTitle">
    <w:name w:val="Book Title"/>
    <w:basedOn w:val="DefaultParagraphFont"/>
    <w:uiPriority w:val="99"/>
    <w:qFormat/>
    <w:rsid w:val="00A75503"/>
    <w:rPr>
      <w:bCs/>
      <w:i/>
      <w:iCs/>
      <w:spacing w:val="5"/>
    </w:rPr>
  </w:style>
  <w:style w:type="character" w:styleId="SubtleEmphasis">
    <w:name w:val="Subtle Emphasis"/>
    <w:basedOn w:val="DefaultParagraphFont"/>
    <w:uiPriority w:val="99"/>
    <w:qFormat/>
    <w:rsid w:val="00BE75CD"/>
    <w:rPr>
      <w:i/>
      <w:iCs/>
      <w:color w:val="404040" w:themeColor="text1" w:themeTint="BF"/>
    </w:rPr>
  </w:style>
  <w:style w:type="character" w:styleId="IntenseEmphasis">
    <w:name w:val="Intense Emphasis"/>
    <w:basedOn w:val="DefaultParagraphFont"/>
    <w:uiPriority w:val="99"/>
    <w:qFormat/>
    <w:rsid w:val="00066566"/>
    <w:rPr>
      <w:i/>
      <w:iCs/>
      <w:color w:val="4F81BD" w:themeColor="accent1"/>
      <w:sz w:val="20"/>
    </w:rPr>
  </w:style>
  <w:style w:type="paragraph" w:customStyle="1" w:styleId="IntenseHeading">
    <w:name w:val="Intense Heading"/>
    <w:basedOn w:val="BodyText"/>
    <w:next w:val="BodyText"/>
    <w:uiPriority w:val="96"/>
    <w:qFormat/>
    <w:rsid w:val="0009277E"/>
    <w:pPr>
      <w:spacing w:after="0"/>
    </w:pPr>
    <w:rPr>
      <w:b/>
      <w:i/>
      <w:color w:val="4F81BD"/>
    </w:rPr>
  </w:style>
  <w:style w:type="character" w:styleId="Strong">
    <w:name w:val="Strong"/>
    <w:basedOn w:val="DefaultParagraphFont"/>
    <w:uiPriority w:val="22"/>
    <w:qFormat/>
    <w:rsid w:val="008017CB"/>
    <w:rPr>
      <w:b/>
      <w:bCs/>
    </w:rPr>
  </w:style>
  <w:style w:type="table" w:customStyle="1" w:styleId="TableGrid1">
    <w:name w:val="Table Grid1"/>
    <w:basedOn w:val="TableNormal"/>
    <w:next w:val="TableGrid"/>
    <w:uiPriority w:val="59"/>
    <w:rsid w:val="0082116C"/>
    <w:rPr>
      <w:rFonts w:ascii="Calibri" w:hAnsi="Calibri"/>
    </w:rPr>
    <w:tblPr>
      <w:tblBorders>
        <w:insideH w:val="single" w:sz="4" w:space="0" w:color="D9D9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vAlign w:val="center"/>
      </w:tcPr>
    </w:tblStylePr>
    <w:tblStylePr w:type="lastRow">
      <w:tblPr/>
      <w:tcPr>
        <w:tcBorders>
          <w:insideH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665833">
      <w:bodyDiv w:val="1"/>
      <w:marLeft w:val="0"/>
      <w:marRight w:val="0"/>
      <w:marTop w:val="0"/>
      <w:marBottom w:val="0"/>
      <w:divBdr>
        <w:top w:val="none" w:sz="0" w:space="0" w:color="auto"/>
        <w:left w:val="none" w:sz="0" w:space="0" w:color="auto"/>
        <w:bottom w:val="none" w:sz="0" w:space="0" w:color="auto"/>
        <w:right w:val="none" w:sz="0" w:space="0" w:color="auto"/>
      </w:divBdr>
    </w:div>
    <w:div w:id="229772616">
      <w:bodyDiv w:val="1"/>
      <w:marLeft w:val="0"/>
      <w:marRight w:val="0"/>
      <w:marTop w:val="0"/>
      <w:marBottom w:val="0"/>
      <w:divBdr>
        <w:top w:val="none" w:sz="0" w:space="0" w:color="auto"/>
        <w:left w:val="none" w:sz="0" w:space="0" w:color="auto"/>
        <w:bottom w:val="none" w:sz="0" w:space="0" w:color="auto"/>
        <w:right w:val="none" w:sz="0" w:space="0" w:color="auto"/>
      </w:divBdr>
    </w:div>
    <w:div w:id="474877833">
      <w:bodyDiv w:val="1"/>
      <w:marLeft w:val="0"/>
      <w:marRight w:val="0"/>
      <w:marTop w:val="0"/>
      <w:marBottom w:val="0"/>
      <w:divBdr>
        <w:top w:val="none" w:sz="0" w:space="0" w:color="auto"/>
        <w:left w:val="none" w:sz="0" w:space="0" w:color="auto"/>
        <w:bottom w:val="none" w:sz="0" w:space="0" w:color="auto"/>
        <w:right w:val="none" w:sz="0" w:space="0" w:color="auto"/>
      </w:divBdr>
    </w:div>
    <w:div w:id="963855148">
      <w:bodyDiv w:val="1"/>
      <w:marLeft w:val="0"/>
      <w:marRight w:val="0"/>
      <w:marTop w:val="0"/>
      <w:marBottom w:val="0"/>
      <w:divBdr>
        <w:top w:val="none" w:sz="0" w:space="0" w:color="auto"/>
        <w:left w:val="none" w:sz="0" w:space="0" w:color="auto"/>
        <w:bottom w:val="none" w:sz="0" w:space="0" w:color="auto"/>
        <w:right w:val="none" w:sz="0" w:space="0" w:color="auto"/>
      </w:divBdr>
    </w:div>
    <w:div w:id="1210611030">
      <w:bodyDiv w:val="1"/>
      <w:marLeft w:val="0"/>
      <w:marRight w:val="0"/>
      <w:marTop w:val="0"/>
      <w:marBottom w:val="0"/>
      <w:divBdr>
        <w:top w:val="none" w:sz="0" w:space="0" w:color="auto"/>
        <w:left w:val="none" w:sz="0" w:space="0" w:color="auto"/>
        <w:bottom w:val="none" w:sz="0" w:space="0" w:color="auto"/>
        <w:right w:val="none" w:sz="0" w:space="0" w:color="auto"/>
      </w:divBdr>
    </w:div>
    <w:div w:id="1224288794">
      <w:bodyDiv w:val="1"/>
      <w:marLeft w:val="0"/>
      <w:marRight w:val="0"/>
      <w:marTop w:val="0"/>
      <w:marBottom w:val="0"/>
      <w:divBdr>
        <w:top w:val="none" w:sz="0" w:space="0" w:color="auto"/>
        <w:left w:val="none" w:sz="0" w:space="0" w:color="auto"/>
        <w:bottom w:val="none" w:sz="0" w:space="0" w:color="auto"/>
        <w:right w:val="none" w:sz="0" w:space="0" w:color="auto"/>
      </w:divBdr>
    </w:div>
    <w:div w:id="1376662251">
      <w:bodyDiv w:val="1"/>
      <w:marLeft w:val="0"/>
      <w:marRight w:val="0"/>
      <w:marTop w:val="0"/>
      <w:marBottom w:val="0"/>
      <w:divBdr>
        <w:top w:val="none" w:sz="0" w:space="0" w:color="auto"/>
        <w:left w:val="none" w:sz="0" w:space="0" w:color="auto"/>
        <w:bottom w:val="none" w:sz="0" w:space="0" w:color="auto"/>
        <w:right w:val="none" w:sz="0" w:space="0" w:color="auto"/>
      </w:divBdr>
    </w:div>
    <w:div w:id="1433551413">
      <w:bodyDiv w:val="1"/>
      <w:marLeft w:val="0"/>
      <w:marRight w:val="0"/>
      <w:marTop w:val="0"/>
      <w:marBottom w:val="0"/>
      <w:divBdr>
        <w:top w:val="none" w:sz="0" w:space="0" w:color="auto"/>
        <w:left w:val="none" w:sz="0" w:space="0" w:color="auto"/>
        <w:bottom w:val="none" w:sz="0" w:space="0" w:color="auto"/>
        <w:right w:val="none" w:sz="0" w:space="0" w:color="auto"/>
      </w:divBdr>
    </w:div>
    <w:div w:id="1627855651">
      <w:bodyDiv w:val="1"/>
      <w:marLeft w:val="0"/>
      <w:marRight w:val="0"/>
      <w:marTop w:val="0"/>
      <w:marBottom w:val="0"/>
      <w:divBdr>
        <w:top w:val="none" w:sz="0" w:space="0" w:color="auto"/>
        <w:left w:val="none" w:sz="0" w:space="0" w:color="auto"/>
        <w:bottom w:val="none" w:sz="0" w:space="0" w:color="auto"/>
        <w:right w:val="none" w:sz="0" w:space="0" w:color="auto"/>
      </w:divBdr>
    </w:div>
    <w:div w:id="1672559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yber.gov.au/resources-business-and-government/essential-cyber-security/ism/cyber-security-guidelines/guidelines-cryptography"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yber.gov.au/resources-business-and-government/essential-cyber-security/ism/cyber-security-guidelines/guidelines-system-hardening" TargetMode="Externa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yber.gov.au/resources-business-and-government/essential-cyber-security/ism/cyber-security-guidelines/guidelines-system-monitoring"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cyber.gov.au/resources-business-and-government/essential-cyber-security/ism/cyber-security-guidelines/guidelines-system-hardening" TargetMode="External"/><Relationship Id="rId4" Type="http://schemas.openxmlformats.org/officeDocument/2006/relationships/webSettings" Target="webSettings.xml"/><Relationship Id="rId9" Type="http://schemas.openxmlformats.org/officeDocument/2006/relationships/hyperlink" Target="https://www.cyber.gov.au/resources-business-and-government/essential-cyber-security/ism/cyber-security-guidelines/guidelines-networking"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E9D5"/>
        </a:solidFill>
        <a:ln w="6350">
          <a:noFill/>
        </a:ln>
      </a:spPr>
      <a:bodyPr wrap="square" lIns="108000" tIns="108000" rIns="108000" bIns="108000" rtlCol="0">
        <a:sp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1458</Words>
  <Characters>8311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2019-08-14T22:06:00Z</dcterms:created>
  <dcterms:modified xsi:type="dcterms:W3CDTF">2023-02-28T08:39:00Z</dcterms:modified>
</cp:coreProperties>
</file>